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0767" w14:textId="01BD27A4" w:rsidR="000F098B" w:rsidRDefault="00F93E5A">
      <w:pPr>
        <w:spacing w:after="0" w:line="276" w:lineRule="auto"/>
        <w:jc w:val="both"/>
        <w:rPr>
          <w:rFonts w:ascii="Arial Narrow" w:eastAsia="Arial Narrow" w:hAnsi="Arial Narrow" w:cs="Arial Narrow"/>
        </w:rPr>
      </w:pPr>
      <w:r>
        <w:rPr>
          <w:rFonts w:ascii="Arial Narrow" w:eastAsia="Arial Narrow" w:hAnsi="Arial Narrow" w:cs="Arial Narrow"/>
        </w:rPr>
        <w:t xml:space="preserve">Bogotá </w:t>
      </w:r>
      <w:r w:rsidR="00F629CA">
        <w:rPr>
          <w:rFonts w:ascii="Arial Narrow" w:eastAsia="Arial Narrow" w:hAnsi="Arial Narrow" w:cs="Arial Narrow"/>
        </w:rPr>
        <w:t>23</w:t>
      </w:r>
      <w:r>
        <w:rPr>
          <w:rFonts w:ascii="Arial Narrow" w:eastAsia="Arial Narrow" w:hAnsi="Arial Narrow" w:cs="Arial Narrow"/>
        </w:rPr>
        <w:t xml:space="preserve"> de noviembre de 2021</w:t>
      </w:r>
    </w:p>
    <w:p w14:paraId="2F0ECB58" w14:textId="77777777" w:rsidR="000F098B" w:rsidRDefault="000F098B">
      <w:pPr>
        <w:spacing w:after="0" w:line="276" w:lineRule="auto"/>
        <w:jc w:val="both"/>
        <w:rPr>
          <w:rFonts w:ascii="Arial Narrow" w:eastAsia="Arial Narrow" w:hAnsi="Arial Narrow" w:cs="Arial Narrow"/>
        </w:rPr>
      </w:pPr>
    </w:p>
    <w:p w14:paraId="659BA909" w14:textId="77777777" w:rsidR="000F098B" w:rsidRDefault="00F93E5A">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Doctora</w:t>
      </w:r>
    </w:p>
    <w:p w14:paraId="1FB0B5B5" w14:textId="77777777" w:rsidR="000F098B" w:rsidRDefault="00F93E5A">
      <w:pPr>
        <w:spacing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Jennifer </w:t>
      </w:r>
      <w:proofErr w:type="spellStart"/>
      <w:r>
        <w:rPr>
          <w:rFonts w:ascii="Arial Narrow" w:eastAsia="Arial Narrow" w:hAnsi="Arial Narrow" w:cs="Arial Narrow"/>
          <w:b/>
          <w:sz w:val="24"/>
          <w:szCs w:val="24"/>
        </w:rPr>
        <w:t>Kristin</w:t>
      </w:r>
      <w:proofErr w:type="spellEnd"/>
      <w:r>
        <w:rPr>
          <w:rFonts w:ascii="Arial Narrow" w:eastAsia="Arial Narrow" w:hAnsi="Arial Narrow" w:cs="Arial Narrow"/>
          <w:b/>
          <w:sz w:val="24"/>
          <w:szCs w:val="24"/>
        </w:rPr>
        <w:t xml:space="preserve"> Arias Falla</w:t>
      </w:r>
    </w:p>
    <w:p w14:paraId="5937A8C2" w14:textId="77777777" w:rsidR="000F098B" w:rsidRDefault="00F93E5A">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Presidente</w:t>
      </w:r>
    </w:p>
    <w:p w14:paraId="475209AC" w14:textId="77777777" w:rsidR="000F098B" w:rsidRDefault="00F93E5A">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14:paraId="3149D43E" w14:textId="77777777" w:rsidR="000F098B" w:rsidRDefault="00F93E5A">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Ciudad</w:t>
      </w:r>
    </w:p>
    <w:p w14:paraId="7860104F" w14:textId="77777777" w:rsidR="000F098B" w:rsidRDefault="000F098B">
      <w:pPr>
        <w:spacing w:after="0" w:line="276" w:lineRule="auto"/>
        <w:jc w:val="both"/>
        <w:rPr>
          <w:rFonts w:ascii="Arial Narrow" w:eastAsia="Arial Narrow" w:hAnsi="Arial Narrow" w:cs="Arial Narrow"/>
          <w:sz w:val="24"/>
          <w:szCs w:val="24"/>
        </w:rPr>
      </w:pPr>
    </w:p>
    <w:p w14:paraId="185E92F9"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 xml:space="preserve">Informe de ponencia para segundo debate al Proyecto de Ley No. 639 de 2021 Cámara, 346 de 2020 Senado: </w:t>
      </w:r>
      <w:r>
        <w:rPr>
          <w:rFonts w:ascii="Arial Narrow" w:eastAsia="Arial Narrow" w:hAnsi="Arial Narrow" w:cs="Arial Narrow"/>
          <w:b/>
          <w:i/>
          <w:sz w:val="24"/>
          <w:szCs w:val="24"/>
        </w:rPr>
        <w:t xml:space="preserve">“Por medio del cual se declara zona de interés ambiental, turístico ecológico y pesquero al Embalse del </w:t>
      </w:r>
      <w:proofErr w:type="spellStart"/>
      <w:r>
        <w:rPr>
          <w:rFonts w:ascii="Arial Narrow" w:eastAsia="Arial Narrow" w:hAnsi="Arial Narrow" w:cs="Arial Narrow"/>
          <w:b/>
          <w:i/>
          <w:sz w:val="24"/>
          <w:szCs w:val="24"/>
        </w:rPr>
        <w:t>Guájaro</w:t>
      </w:r>
      <w:proofErr w:type="spellEnd"/>
      <w:r>
        <w:rPr>
          <w:rFonts w:ascii="Arial Narrow" w:eastAsia="Arial Narrow" w:hAnsi="Arial Narrow" w:cs="Arial Narrow"/>
          <w:b/>
          <w:i/>
          <w:sz w:val="24"/>
          <w:szCs w:val="24"/>
        </w:rPr>
        <w:t xml:space="preserve"> en el Departamento del Atlántico, se reconoce su potencial pesquero y se dictan otras disposiciones”</w:t>
      </w:r>
    </w:p>
    <w:p w14:paraId="7F392010" w14:textId="77777777" w:rsidR="000F098B" w:rsidRDefault="000F098B">
      <w:pPr>
        <w:pBdr>
          <w:top w:val="nil"/>
          <w:left w:val="nil"/>
          <w:bottom w:val="nil"/>
          <w:right w:val="nil"/>
          <w:between w:val="nil"/>
        </w:pBdr>
        <w:spacing w:after="0" w:line="276" w:lineRule="auto"/>
        <w:rPr>
          <w:rFonts w:ascii="Arial Narrow" w:eastAsia="Arial Narrow" w:hAnsi="Arial Narrow" w:cs="Arial Narrow"/>
          <w:b/>
          <w:color w:val="000000"/>
          <w:sz w:val="24"/>
          <w:szCs w:val="24"/>
        </w:rPr>
      </w:pPr>
    </w:p>
    <w:p w14:paraId="4D8FFC33" w14:textId="77777777" w:rsidR="000F098B" w:rsidRDefault="00F93E5A">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Respetada </w:t>
      </w:r>
      <w:proofErr w:type="gramStart"/>
      <w:r>
        <w:rPr>
          <w:rFonts w:ascii="Arial Narrow" w:eastAsia="Arial Narrow" w:hAnsi="Arial Narrow" w:cs="Arial Narrow"/>
          <w:sz w:val="24"/>
          <w:szCs w:val="24"/>
        </w:rPr>
        <w:t>Presidente</w:t>
      </w:r>
      <w:proofErr w:type="gramEnd"/>
      <w:r>
        <w:rPr>
          <w:rFonts w:ascii="Arial Narrow" w:eastAsia="Arial Narrow" w:hAnsi="Arial Narrow" w:cs="Arial Narrow"/>
          <w:sz w:val="24"/>
          <w:szCs w:val="24"/>
        </w:rPr>
        <w:t>:</w:t>
      </w:r>
    </w:p>
    <w:p w14:paraId="27CB0A12" w14:textId="77777777" w:rsidR="000F098B" w:rsidRDefault="000F098B">
      <w:pPr>
        <w:spacing w:after="0" w:line="276" w:lineRule="auto"/>
        <w:jc w:val="both"/>
        <w:rPr>
          <w:rFonts w:ascii="Arial Narrow" w:eastAsia="Arial Narrow" w:hAnsi="Arial Narrow" w:cs="Arial Narrow"/>
          <w:sz w:val="24"/>
          <w:szCs w:val="24"/>
        </w:rPr>
      </w:pPr>
    </w:p>
    <w:p w14:paraId="334E0A57" w14:textId="77777777" w:rsidR="000F098B" w:rsidRDefault="00F93E5A">
      <w:pPr>
        <w:spacing w:line="276" w:lineRule="auto"/>
        <w:jc w:val="both"/>
        <w:rPr>
          <w:rFonts w:ascii="Arial Narrow" w:eastAsia="Arial Narrow" w:hAnsi="Arial Narrow" w:cs="Arial Narrow"/>
          <w:b/>
          <w:i/>
          <w:sz w:val="24"/>
          <w:szCs w:val="24"/>
        </w:rPr>
      </w:pPr>
      <w:r>
        <w:rPr>
          <w:rFonts w:ascii="Arial Narrow" w:eastAsia="Arial Narrow" w:hAnsi="Arial Narrow" w:cs="Arial Narrow"/>
          <w:color w:val="000000"/>
          <w:sz w:val="24"/>
          <w:szCs w:val="24"/>
        </w:rPr>
        <w:t xml:space="preserve">En cumplimiento de la designación realizada por la Mesa Directiva de la Comisión Quinta Constitucional de la Cámara de Representantes y de acuerdo con las disposiciones contenidas en la Ley 5ª de 1992, se rinde informe de ponencia para </w:t>
      </w:r>
      <w:r>
        <w:rPr>
          <w:rFonts w:ascii="Arial Narrow" w:eastAsia="Arial Narrow" w:hAnsi="Arial Narrow" w:cs="Arial Narrow"/>
          <w:sz w:val="24"/>
          <w:szCs w:val="24"/>
        </w:rPr>
        <w:t>segundo</w:t>
      </w:r>
      <w:r>
        <w:rPr>
          <w:rFonts w:ascii="Arial Narrow" w:eastAsia="Arial Narrow" w:hAnsi="Arial Narrow" w:cs="Arial Narrow"/>
          <w:color w:val="000000"/>
          <w:sz w:val="24"/>
          <w:szCs w:val="24"/>
        </w:rPr>
        <w:t xml:space="preserve"> debate del </w:t>
      </w:r>
      <w:r>
        <w:rPr>
          <w:rFonts w:ascii="Arial Narrow" w:eastAsia="Arial Narrow" w:hAnsi="Arial Narrow" w:cs="Arial Narrow"/>
          <w:sz w:val="24"/>
          <w:szCs w:val="24"/>
        </w:rPr>
        <w:t xml:space="preserve">Proyecto de Ley No. 639 de 2021 Cámara, 346 de 2020 Senado: </w:t>
      </w:r>
      <w:r>
        <w:rPr>
          <w:rFonts w:ascii="Arial Narrow" w:eastAsia="Arial Narrow" w:hAnsi="Arial Narrow" w:cs="Arial Narrow"/>
          <w:b/>
          <w:i/>
          <w:sz w:val="24"/>
          <w:szCs w:val="24"/>
        </w:rPr>
        <w:t xml:space="preserve">“Por medio del cual se declara zona de interés ambiental, turístico ecológico y pesquero al Embalse del </w:t>
      </w:r>
      <w:proofErr w:type="spellStart"/>
      <w:r>
        <w:rPr>
          <w:rFonts w:ascii="Arial Narrow" w:eastAsia="Arial Narrow" w:hAnsi="Arial Narrow" w:cs="Arial Narrow"/>
          <w:b/>
          <w:i/>
          <w:sz w:val="24"/>
          <w:szCs w:val="24"/>
        </w:rPr>
        <w:t>Guájaro</w:t>
      </w:r>
      <w:proofErr w:type="spellEnd"/>
      <w:r>
        <w:rPr>
          <w:rFonts w:ascii="Arial Narrow" w:eastAsia="Arial Narrow" w:hAnsi="Arial Narrow" w:cs="Arial Narrow"/>
          <w:b/>
          <w:i/>
          <w:sz w:val="24"/>
          <w:szCs w:val="24"/>
        </w:rPr>
        <w:t xml:space="preserve"> en el Departamento del Atlántico, se reconoce su potencial pesquero y se dictan otras disposiciones”.</w:t>
      </w:r>
    </w:p>
    <w:p w14:paraId="53EF6F1D" w14:textId="77777777" w:rsidR="000F098B" w:rsidRDefault="000F098B">
      <w:pPr>
        <w:shd w:val="clear" w:color="auto" w:fill="FFFFFF"/>
        <w:spacing w:line="276" w:lineRule="auto"/>
        <w:jc w:val="both"/>
        <w:rPr>
          <w:rFonts w:ascii="Arial Narrow" w:eastAsia="Arial Narrow" w:hAnsi="Arial Narrow" w:cs="Arial Narrow"/>
          <w:sz w:val="24"/>
          <w:szCs w:val="24"/>
        </w:rPr>
      </w:pPr>
    </w:p>
    <w:p w14:paraId="23869EA1" w14:textId="77777777" w:rsidR="000F098B" w:rsidRDefault="00F93E5A">
      <w:pPr>
        <w:shd w:val="clear" w:color="auto" w:fill="FFFFFF"/>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El Informe de Ponencia se rinde en los siguientes términos:</w:t>
      </w:r>
    </w:p>
    <w:p w14:paraId="7E8039F6" w14:textId="77777777" w:rsidR="000F098B" w:rsidRDefault="000F098B">
      <w:pPr>
        <w:spacing w:line="276" w:lineRule="auto"/>
        <w:jc w:val="both"/>
        <w:rPr>
          <w:rFonts w:ascii="Arial Narrow" w:eastAsia="Arial Narrow" w:hAnsi="Arial Narrow" w:cs="Arial Narrow"/>
          <w:b/>
          <w:sz w:val="24"/>
          <w:szCs w:val="24"/>
        </w:rPr>
      </w:pPr>
    </w:p>
    <w:p w14:paraId="183C8A68" w14:textId="77777777" w:rsidR="000F098B" w:rsidRDefault="00F93E5A">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INFORME DE PONENCIA PARA SEGUNDO DEBATE AL PROYECTO DE LEY NO. 639 DE 2021 CÁMARA, 346 DE 2020 SENADO: </w:t>
      </w:r>
    </w:p>
    <w:p w14:paraId="65966AF5" w14:textId="77777777" w:rsidR="000F098B" w:rsidRDefault="00F93E5A">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“POR MEDIO DEL CUAL SE DECLARA ZONA DE INTERÉS AMBIENTAL, </w:t>
      </w:r>
      <w:proofErr w:type="gramStart"/>
      <w:r>
        <w:rPr>
          <w:rFonts w:ascii="Arial Narrow" w:eastAsia="Arial Narrow" w:hAnsi="Arial Narrow" w:cs="Arial Narrow"/>
          <w:b/>
          <w:sz w:val="24"/>
          <w:szCs w:val="24"/>
        </w:rPr>
        <w:t>TURÍSTICO  ECOLÓGICO</w:t>
      </w:r>
      <w:proofErr w:type="gramEnd"/>
      <w:r>
        <w:rPr>
          <w:rFonts w:ascii="Arial Narrow" w:eastAsia="Arial Narrow" w:hAnsi="Arial Narrow" w:cs="Arial Narrow"/>
          <w:b/>
          <w:sz w:val="24"/>
          <w:szCs w:val="24"/>
        </w:rPr>
        <w:t xml:space="preserve"> Y PESQUERO AL EMBALSE DEL GUÁJARO EN EL DEPARTAMENTO DEL ATLÁNTICO, SE RECONOCE SU POTENCIAL PESQUERO Y SE DICTAN OTRAS DISPOSICIONES”</w:t>
      </w:r>
    </w:p>
    <w:p w14:paraId="5692152A" w14:textId="77777777" w:rsidR="000F098B" w:rsidRDefault="00F93E5A">
      <w:pPr>
        <w:numPr>
          <w:ilvl w:val="0"/>
          <w:numId w:val="2"/>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CONSIDERACIONES GENERALES</w:t>
      </w:r>
    </w:p>
    <w:p w14:paraId="3D42D622" w14:textId="77777777" w:rsidR="000F098B" w:rsidRDefault="000F098B">
      <w:pPr>
        <w:pBdr>
          <w:top w:val="nil"/>
          <w:left w:val="nil"/>
          <w:bottom w:val="nil"/>
          <w:right w:val="nil"/>
          <w:between w:val="nil"/>
        </w:pBdr>
        <w:spacing w:line="276" w:lineRule="auto"/>
        <w:ind w:left="1065"/>
        <w:jc w:val="both"/>
        <w:rPr>
          <w:rFonts w:ascii="Arial Narrow" w:eastAsia="Arial Narrow" w:hAnsi="Arial Narrow" w:cs="Arial Narrow"/>
          <w:b/>
          <w:color w:val="000000"/>
          <w:sz w:val="24"/>
          <w:szCs w:val="24"/>
        </w:rPr>
      </w:pPr>
    </w:p>
    <w:p w14:paraId="481DA314"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1.1</w:t>
      </w:r>
      <w:r>
        <w:rPr>
          <w:rFonts w:ascii="Arial Narrow" w:eastAsia="Arial Narrow" w:hAnsi="Arial Narrow" w:cs="Arial Narrow"/>
          <w:b/>
          <w:sz w:val="24"/>
          <w:szCs w:val="24"/>
        </w:rPr>
        <w:tab/>
        <w:t>Antecedentes del Proyecto</w:t>
      </w:r>
    </w:p>
    <w:p w14:paraId="3406101B"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Proyecto de ley, ¨Por medio del cual se declara zona de interés ambiental, turístico y ecológico al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en el Departamento del Atlántico, se reconoce su potencial pesquero y se dictan otras disposiciones¨, fue radicado en la Secretaria General del Senado, el día 5 de noviembre del año 2020 por los Honorables Senadores MAURICIO GÓMEZ AMÍN, ARTURO CHAR CHALJUB, JOSE DAVID NAME CARDOZO, LUIS EDUARDO DIAZGRANADOS, EFRAÍN JOSÉ CEPEDA, MIGUEL AMÍN ESCAF, LAURA FORTICH SÁNCHEZ, ANTONIO ZABARAÍN, EDGAR PALACIO MIZRAHI, EDUARDO PULGAR DAZA, LAUREANO ACUÑA DÍAZ, ARMANDO BENEDETTI Y LOS HONORABLES REPRESENTANTES MARTHA PATRICIA VILLALBA, JOSÉ GABRIEL AMAR SEPULVEDA, KARINA ROJANO PALACIO, JEZMI BARRAZA ARRAUT, ARMANDO ZABARAÍN, CESÁR LORDUY MALDONADO Y MODESTO AGUILERA VIDES. Dicho proyecto con Radicado No. número 346 de 2020, fue remitido a la Comisión Quinta Constitucional Permanente del Senado, el día 10 de noviembre de 2020 y fue designado como ponente para Primer Debate Senado al Honorable Senador José David </w:t>
      </w:r>
      <w:proofErr w:type="spellStart"/>
      <w:r>
        <w:rPr>
          <w:rFonts w:ascii="Arial Narrow" w:eastAsia="Arial Narrow" w:hAnsi="Arial Narrow" w:cs="Arial Narrow"/>
          <w:sz w:val="24"/>
          <w:szCs w:val="24"/>
        </w:rPr>
        <w:t>Name</w:t>
      </w:r>
      <w:proofErr w:type="spellEnd"/>
      <w:r>
        <w:rPr>
          <w:rFonts w:ascii="Arial Narrow" w:eastAsia="Arial Narrow" w:hAnsi="Arial Narrow" w:cs="Arial Narrow"/>
          <w:sz w:val="24"/>
          <w:szCs w:val="24"/>
        </w:rPr>
        <w:t xml:space="preserve"> Cardozo quien presentó ponencia para primer debate la cual fue publicada en la gaceta 1335 de 2020 y debatida por la Comisión Quinta Constitucional Permanente del Senado de la República el día 7 de abril de 2021, así mismo, el 4  de mayo de 2021 el Honorable Senador José David </w:t>
      </w:r>
      <w:proofErr w:type="spellStart"/>
      <w:r>
        <w:rPr>
          <w:rFonts w:ascii="Arial Narrow" w:eastAsia="Arial Narrow" w:hAnsi="Arial Narrow" w:cs="Arial Narrow"/>
          <w:sz w:val="24"/>
          <w:szCs w:val="24"/>
        </w:rPr>
        <w:t>Name</w:t>
      </w:r>
      <w:proofErr w:type="spellEnd"/>
      <w:r>
        <w:rPr>
          <w:rFonts w:ascii="Arial Narrow" w:eastAsia="Arial Narrow" w:hAnsi="Arial Narrow" w:cs="Arial Narrow"/>
          <w:sz w:val="24"/>
          <w:szCs w:val="24"/>
        </w:rPr>
        <w:t xml:space="preserve"> Cardozo quien también fuere designado como ponente para segundo debate, presentó dicha ponencia la cual fue debatida y aprobada en plenaria del Senado el día 18 de junio de 2021.  </w:t>
      </w:r>
    </w:p>
    <w:p w14:paraId="67A4AD7A" w14:textId="77777777" w:rsidR="000F098B" w:rsidRDefault="000F098B">
      <w:pPr>
        <w:spacing w:line="276" w:lineRule="auto"/>
        <w:jc w:val="both"/>
        <w:rPr>
          <w:rFonts w:ascii="Arial Narrow" w:eastAsia="Arial Narrow" w:hAnsi="Arial Narrow" w:cs="Arial Narrow"/>
          <w:sz w:val="24"/>
          <w:szCs w:val="24"/>
        </w:rPr>
      </w:pPr>
    </w:p>
    <w:p w14:paraId="33A02113"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Posteriormente, el Proyecto de Ley No. 639 de 2021 Cámara, 346 de 2020 Senado:, </w:t>
      </w:r>
      <w:r>
        <w:rPr>
          <w:rFonts w:ascii="Arial Narrow" w:eastAsia="Arial Narrow" w:hAnsi="Arial Narrow" w:cs="Arial Narrow"/>
          <w:i/>
          <w:sz w:val="24"/>
          <w:szCs w:val="24"/>
        </w:rPr>
        <w:t xml:space="preserve">“Por medio del cual se declara zona de interés ambiental, turístico y ecológico al embalse del </w:t>
      </w:r>
      <w:proofErr w:type="spellStart"/>
      <w:r>
        <w:rPr>
          <w:rFonts w:ascii="Arial Narrow" w:eastAsia="Arial Narrow" w:hAnsi="Arial Narrow" w:cs="Arial Narrow"/>
          <w:i/>
          <w:sz w:val="24"/>
          <w:szCs w:val="24"/>
        </w:rPr>
        <w:t>Guájaro</w:t>
      </w:r>
      <w:proofErr w:type="spellEnd"/>
      <w:r>
        <w:rPr>
          <w:rFonts w:ascii="Arial Narrow" w:eastAsia="Arial Narrow" w:hAnsi="Arial Narrow" w:cs="Arial Narrow"/>
          <w:i/>
          <w:sz w:val="24"/>
          <w:szCs w:val="24"/>
        </w:rPr>
        <w:t xml:space="preserve"> en el Departamento del Atlántico, se reconoce su potencial pesquero y se dictan otras disposiciones¨</w:t>
      </w:r>
      <w:r>
        <w:rPr>
          <w:rFonts w:ascii="Arial Narrow" w:eastAsia="Arial Narrow" w:hAnsi="Arial Narrow" w:cs="Arial Narrow"/>
          <w:sz w:val="24"/>
          <w:szCs w:val="24"/>
        </w:rPr>
        <w:t xml:space="preserve">  fue radicado en la secretaria general de la Cámara de Representantes el día 30 de junio de 2021 por los Honorables Senadores MAURICIO GÓMEZ AMIN, ARTURO CHAR CHALJUB, LUIS EDUARDO DIAZGRANADOS TORRES, EFRAÍN JOSÉ CEPEDA SARABIA, MIGUEL AMÍN ESCAF, LAURA ESTHER FORTICH SANCHEZ, ANTONIO LUIS ZABARAIN GUEVARA, EDGAR ENRIQUE PALACIO MIZRAHI, EDUARDO ENRIQUE PULGAR DAZA, LAUREANO AUGUSTO ACUÑA DÍAZ, remitido a la Comisión Quinta Constitucional permanente Cámara el día 27 de julio de 2021 y designados como;  ponente coordinador el Honorable Representante Alonso José Del Río Cabarcas y como ponentes la Honorable Representante Karen </w:t>
      </w:r>
      <w:proofErr w:type="spellStart"/>
      <w:r>
        <w:rPr>
          <w:rFonts w:ascii="Arial Narrow" w:eastAsia="Arial Narrow" w:hAnsi="Arial Narrow" w:cs="Arial Narrow"/>
          <w:sz w:val="24"/>
          <w:szCs w:val="24"/>
        </w:rPr>
        <w:t>Violette</w:t>
      </w:r>
      <w:proofErr w:type="spellEnd"/>
      <w:r>
        <w:rPr>
          <w:rFonts w:ascii="Arial Narrow" w:eastAsia="Arial Narrow" w:hAnsi="Arial Narrow" w:cs="Arial Narrow"/>
          <w:sz w:val="24"/>
          <w:szCs w:val="24"/>
        </w:rPr>
        <w:t xml:space="preserve"> Cure </w:t>
      </w:r>
      <w:proofErr w:type="spellStart"/>
      <w:r>
        <w:rPr>
          <w:rFonts w:ascii="Arial Narrow" w:eastAsia="Arial Narrow" w:hAnsi="Arial Narrow" w:cs="Arial Narrow"/>
          <w:sz w:val="24"/>
          <w:szCs w:val="24"/>
        </w:rPr>
        <w:t>Corcione</w:t>
      </w:r>
      <w:proofErr w:type="spellEnd"/>
      <w:r>
        <w:rPr>
          <w:rFonts w:ascii="Arial Narrow" w:eastAsia="Arial Narrow" w:hAnsi="Arial Narrow" w:cs="Arial Narrow"/>
          <w:sz w:val="24"/>
          <w:szCs w:val="24"/>
        </w:rPr>
        <w:t xml:space="preserve"> y el Honorable Representante Franklin Del Cristo Lozano De La Ossa. </w:t>
      </w:r>
    </w:p>
    <w:p w14:paraId="2121A421"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br/>
        <w:t>Esta iniciativa legislativa, tuvo su primer debate en la Cámara de Representantes el pasado 2 de noviembre del 2021, fue aprobada por unanimidad y sin proposiciones en el marco de la sesión semipresencial en la Comisión Quinta Constitucional. Fueron asignados los mismos ponentes para segundo debate en la Plenaria del Senado de la República que se permiten presentar este informe de ponencia.</w:t>
      </w:r>
    </w:p>
    <w:p w14:paraId="22A251BE"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1.2</w:t>
      </w:r>
      <w:r>
        <w:rPr>
          <w:rFonts w:ascii="Arial Narrow" w:eastAsia="Arial Narrow" w:hAnsi="Arial Narrow" w:cs="Arial Narrow"/>
          <w:b/>
          <w:sz w:val="24"/>
          <w:szCs w:val="24"/>
        </w:rPr>
        <w:tab/>
        <w:t>Objeto del Proyecto</w:t>
      </w:r>
    </w:p>
    <w:p w14:paraId="4826B200"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iniciativa legislativa busca declarar al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ubicado entre los municipios de Sabanalarga, Repelón, Manatí y Luruaco en el departamento del Atlántico, como una zona de interés ambiental, turístico, ecológico y pesquero y así poder promover su recuperación ambiental, implementar una estrategia turística y resaltar y fortalecer su vocación y actividad pesquera la cual es de vital importancia para la seguridad alimentaria de los habitantes de la zona.</w:t>
      </w:r>
    </w:p>
    <w:p w14:paraId="0F878AE3"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1.3. Ubicación y descripción del Embalse</w:t>
      </w:r>
    </w:p>
    <w:p w14:paraId="5DE7D49F"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se encuentra a unos 50 kilómetros al suroeste de Barranquilla, en jurisdicción de los municipios de Repelón, Luruaco, Manatí y Sabanalarga. El espejo de agua se formó al construirse un terraplén de 15 kilómetros de longitud en los cauces de pequeñas ciénagas, el cual está constituido de un revestimiento de taludes compuesto por bloques de cemento.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presenta una superficie de 160 kilómetros cuadrados, una capacidad de almacenamiento de 400 millones de metros cúbicos de agua y una capacidad de desagüe de 60 metros cúbicos por segundo con 4 compuertas reguladoras de la entrada y salida de agua, tiene una extensión aproximada de alrededor 16.000 hectáreas., no obstante, debido al deterioro ambiental, y el impacto que ha tenido este sobre el embalse, se estima que su extensión se encuentre ahora entre las 9.000 hectáreas aproximadamente. </w:t>
      </w:r>
    </w:p>
    <w:p w14:paraId="21D4AD68"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considerado uno de los espejos de agua más importantes del departamento, puesto que determina la seguridad alimentaria de varios los municipios que limitan con el mismo, el embalse representa una oportunidad importante para la actividad  económica de la región y el desarrollo de la actividad pesquera, así mismo, es importante resaltar el compromiso a nivel ambiental que repercute por el manejo del embalse y se debe priorizar y fortalecer  su sostenibilidad y el bienestar de la flora y fauna que lo habitan ya que debido a los fenómenos ambientales que lo han afectado en los últimos años se han generado periodos de sequía que    imposibilitan el uso del embalse y su aprovechamiento para la actividad económica, así mismo en las temporadas de lluvias se han generado inundaciones que igualmente impiden su uso. </w:t>
      </w:r>
    </w:p>
    <w:p w14:paraId="770D39DB"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 El presente proyecto de ley busca fortalecer y potencializar el desarrollo ecoturístico, ambiental, ecológico y pesquero del embalse, permitiendo que se les brinde una mayor financiación a los planes, programas y/o proyectos direccionados al cumplimiento de estos propósitos. </w:t>
      </w:r>
    </w:p>
    <w:p w14:paraId="517186E9" w14:textId="77777777" w:rsidR="000F098B" w:rsidRDefault="000F098B">
      <w:pPr>
        <w:spacing w:line="276" w:lineRule="auto"/>
        <w:jc w:val="both"/>
        <w:rPr>
          <w:rFonts w:ascii="Arial Narrow" w:eastAsia="Arial Narrow" w:hAnsi="Arial Narrow" w:cs="Arial Narrow"/>
          <w:sz w:val="24"/>
          <w:szCs w:val="24"/>
        </w:rPr>
      </w:pPr>
    </w:p>
    <w:p w14:paraId="0B517855"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2.</w:t>
      </w:r>
      <w:r>
        <w:rPr>
          <w:rFonts w:ascii="Arial Narrow" w:eastAsia="Arial Narrow" w:hAnsi="Arial Narrow" w:cs="Arial Narrow"/>
          <w:b/>
          <w:sz w:val="24"/>
          <w:szCs w:val="24"/>
        </w:rPr>
        <w:tab/>
        <w:t>JUSTIFICACIÓN DEL PROYECTO</w:t>
      </w:r>
    </w:p>
    <w:p w14:paraId="4F8206A1"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Teniendo en cuenta la importancia turística, ecológica, ambiental y pesquera que tiene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para el Departamento del Atlántico y sobre todo para la zona de influencia del Embalse, resulta urgente reconocer este potencial e iniciar acciones que puedan garantizar un efectivo y sostenible desarrollo turístico, pesquero, ambiental, ecológico y pesquero, y es en este sentido que se  propone la siguiente iniciativa legislativa, mediante la cual se pretende declarar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zona de interés turístico, ambiental y ecológico, buscando así generar una mayor financiación y apropiación de recursos por parte del Gobierno Nacional y las entidades territoriales competentes, promoviendo mecanismos de cofinanciación y destinación de recursos presupuestales que vinculen las estrategias del gobierno nacional y departamental en pro del beneficio del Embalse y los habitantes de la zona de influencia del mismo. </w:t>
      </w:r>
    </w:p>
    <w:p w14:paraId="4A453FB4" w14:textId="77777777" w:rsidR="000F098B" w:rsidRDefault="00F93E5A">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2.1 Componentes temáticos del proyecto de ley</w:t>
      </w:r>
    </w:p>
    <w:p w14:paraId="5DA9C7D6" w14:textId="77777777" w:rsidR="000F098B" w:rsidRDefault="00F93E5A">
      <w:pPr>
        <w:numPr>
          <w:ilvl w:val="0"/>
          <w:numId w:val="5"/>
        </w:numPr>
        <w:pBdr>
          <w:top w:val="nil"/>
          <w:left w:val="nil"/>
          <w:bottom w:val="nil"/>
          <w:right w:val="nil"/>
          <w:between w:val="nil"/>
        </w:pBdr>
        <w:spacing w:line="276" w:lineRule="auto"/>
        <w:ind w:left="284"/>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Eje ambiental y ecológico</w:t>
      </w:r>
    </w:p>
    <w:p w14:paraId="556448B6"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 pesar de ser un embalse artificial,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compromete una gran responsabilidad ecológica y ambiental dentro del departamento del Atlántico, siendo uno de los cuerpos de agua más importantes de la región. Dentro del mismo “discurren sus aguas de las subcuencas hidrográficas (La Peña, Cabildo, Salado, El Chorro, Aguas Blancas, Cascabel, Machacón, Cabeza de León, Lugo, Porquera, Antón, Triviño, Pitarro, Mazorca, La Montaña, El Pueblo, Estancia Vieja, </w:t>
      </w:r>
      <w:proofErr w:type="spellStart"/>
      <w:r>
        <w:rPr>
          <w:rFonts w:ascii="Arial Narrow" w:eastAsia="Arial Narrow" w:hAnsi="Arial Narrow" w:cs="Arial Narrow"/>
          <w:sz w:val="24"/>
          <w:szCs w:val="24"/>
        </w:rPr>
        <w:t>Iracá</w:t>
      </w:r>
      <w:proofErr w:type="spellEnd"/>
      <w:r>
        <w:rPr>
          <w:rFonts w:ascii="Arial Narrow" w:eastAsia="Arial Narrow" w:hAnsi="Arial Narrow" w:cs="Arial Narrow"/>
          <w:sz w:val="24"/>
          <w:szCs w:val="24"/>
        </w:rPr>
        <w:t xml:space="preserve">, Guayacán, Limón, </w:t>
      </w:r>
      <w:proofErr w:type="spellStart"/>
      <w:r>
        <w:rPr>
          <w:rFonts w:ascii="Arial Narrow" w:eastAsia="Arial Narrow" w:hAnsi="Arial Narrow" w:cs="Arial Narrow"/>
          <w:sz w:val="24"/>
          <w:szCs w:val="24"/>
        </w:rPr>
        <w:t>Platillal</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Henequen</w:t>
      </w:r>
      <w:proofErr w:type="spellEnd"/>
      <w:r>
        <w:rPr>
          <w:rFonts w:ascii="Arial Narrow" w:eastAsia="Arial Narrow" w:hAnsi="Arial Narrow" w:cs="Arial Narrow"/>
          <w:sz w:val="24"/>
          <w:szCs w:val="24"/>
        </w:rPr>
        <w:t>, Picapica, Bartolo, Tabla, Brazo derecho y Banco).”</w:t>
      </w:r>
      <w:r>
        <w:rPr>
          <w:rFonts w:ascii="Arial Narrow" w:eastAsia="Arial Narrow" w:hAnsi="Arial Narrow" w:cs="Arial Narrow"/>
          <w:sz w:val="24"/>
          <w:szCs w:val="24"/>
          <w:vertAlign w:val="superscript"/>
        </w:rPr>
        <w:footnoteReference w:id="1"/>
      </w:r>
    </w:p>
    <w:p w14:paraId="03466482"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Teniendo en cuenta el valor ecosistémico del embalse, y su importancia biológica, ecológica, alimentaria y demás, es importante resaltar y analizar qué tipo de afectación ha sufrido esta zona por los distintos fenómenos ambientales que han sucedido en la región. Uno de los aspectos más preocupantes que se identifica en el embalse, es la contaminación que ha sufrido en las últimas décadas, no solo por el exceso del aprovechamiento de sus recursos, sino también por la carga y el </w:t>
      </w:r>
      <w:r>
        <w:rPr>
          <w:rFonts w:ascii="Arial Narrow" w:eastAsia="Arial Narrow" w:hAnsi="Arial Narrow" w:cs="Arial Narrow"/>
          <w:sz w:val="24"/>
          <w:szCs w:val="24"/>
        </w:rPr>
        <w:lastRenderedPageBreak/>
        <w:t xml:space="preserve">manejo de “las aguas residuales, agroindustriales y de escorrentía superficial de los terrenos agrícolas que son vertidas sin ningún tipo de tratamiento¨. </w:t>
      </w:r>
      <w:r>
        <w:rPr>
          <w:rFonts w:ascii="Arial Narrow" w:eastAsia="Arial Narrow" w:hAnsi="Arial Narrow" w:cs="Arial Narrow"/>
          <w:sz w:val="24"/>
          <w:szCs w:val="24"/>
          <w:vertAlign w:val="superscript"/>
        </w:rPr>
        <w:footnoteReference w:id="2"/>
      </w:r>
    </w:p>
    <w:p w14:paraId="3E8A8267" w14:textId="77777777" w:rsidR="000F098B" w:rsidRDefault="00F93E5A">
      <w:pPr>
        <w:spacing w:line="276" w:lineRule="auto"/>
        <w:rPr>
          <w:rFonts w:ascii="Arial Narrow" w:eastAsia="Arial Narrow" w:hAnsi="Arial Narrow" w:cs="Arial Narrow"/>
          <w:sz w:val="24"/>
          <w:szCs w:val="24"/>
        </w:rPr>
      </w:pPr>
      <w:r>
        <w:rPr>
          <w:rFonts w:ascii="Arial Narrow" w:eastAsia="Arial Narrow" w:hAnsi="Arial Narrow" w:cs="Arial Narrow"/>
          <w:sz w:val="24"/>
          <w:szCs w:val="24"/>
        </w:rPr>
        <w:t>Este proceso ha llevado a que, con los años, el cuerpo de agua y su diversidad biótica hayan sufrido una afectación importante, limitando así, la actividad económica que se desarrollaba en la zona y la utilización de carácter turístico y recreativo que se le podía contemplar al embalse. De igual manera, se considera que dentro de las mayores afectaciones que tiene el embalse actualmente se debe a los intensos periodos de sequía producto de prolongados acontecimientos ambientales como lo son principalmente el Fenómeno de El Niño.</w:t>
      </w:r>
    </w:p>
    <w:p w14:paraId="62B98595" w14:textId="77777777" w:rsidR="000F098B" w:rsidRDefault="00F93E5A">
      <w:pPr>
        <w:widowControl w:val="0"/>
        <w:pBdr>
          <w:top w:val="nil"/>
          <w:left w:val="nil"/>
          <w:bottom w:val="nil"/>
          <w:right w:val="nil"/>
          <w:between w:val="nil"/>
        </w:pBdr>
        <w:spacing w:before="1" w:after="0" w:line="276" w:lineRule="auto"/>
        <w:ind w:right="73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Otro de los procesos que afectan ambientalmente la zona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son las quemas sistemáticas que se identifican en las zonas aledañas al cuerpo de agua, debido a los periodos de sequía que han disminuido la extensión de la laguna, permitiendo que se establezcan nuevos cultivos. No obstante, es importante resaltar el valor y responsabilidad ambiental que han asumido los habitantes de la zona con respecto al embalse, en especial aquellos en donde su actividad pesquera se ha visto limitada por las afectaciones ambientales que este ha sufrido, es importante resaltar que la actividad pesquera no ha tenido un impacto ambiental grande sobre el embalse, puesto que esta problemática se reconoce primordialmente por los fenómenos de sequías y el manejo de aguas residuales.</w:t>
      </w:r>
    </w:p>
    <w:p w14:paraId="02467FA5" w14:textId="77777777" w:rsidR="000F098B" w:rsidRDefault="000F098B">
      <w:pPr>
        <w:widowControl w:val="0"/>
        <w:pBdr>
          <w:top w:val="nil"/>
          <w:left w:val="nil"/>
          <w:bottom w:val="nil"/>
          <w:right w:val="nil"/>
          <w:between w:val="nil"/>
        </w:pBdr>
        <w:spacing w:before="1" w:after="0" w:line="276" w:lineRule="auto"/>
        <w:ind w:right="736"/>
        <w:jc w:val="both"/>
        <w:rPr>
          <w:rFonts w:ascii="Arial Narrow" w:eastAsia="Arial Narrow" w:hAnsi="Arial Narrow" w:cs="Arial Narrow"/>
          <w:color w:val="000000"/>
          <w:sz w:val="24"/>
          <w:szCs w:val="24"/>
        </w:rPr>
      </w:pPr>
    </w:p>
    <w:p w14:paraId="659BA09A" w14:textId="77777777" w:rsidR="000F098B" w:rsidRDefault="00F93E5A">
      <w:pPr>
        <w:widowControl w:val="0"/>
        <w:pBdr>
          <w:top w:val="nil"/>
          <w:left w:val="nil"/>
          <w:bottom w:val="nil"/>
          <w:right w:val="nil"/>
          <w:between w:val="nil"/>
        </w:pBdr>
        <w:spacing w:after="0" w:line="276" w:lineRule="auto"/>
        <w:ind w:right="7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acuerdo con información recopilada por diarios locales y la Corporación Autónoma Regional de la zona, “(…)por el impacto de El Niño, el embalse está perdiendo 750.000 metros cúbicos diarios de agua que se evapora, lo que equivale a 300 piscinas olímpicas con medidas estándar.”6 Por lo tanto, es importante que a través de este tipo de iniciativas se apoyen las medidas de las autoridades ambientales de la zona, en la generación de recursos que busquen la recuperación ambiental y eco sistémica del embalse, y así lograr su reactivación económica, turística y pesquera.</w:t>
      </w:r>
    </w:p>
    <w:p w14:paraId="1E6D0E9D" w14:textId="77777777" w:rsidR="000F098B" w:rsidRDefault="000F098B">
      <w:pPr>
        <w:widowControl w:val="0"/>
        <w:pBdr>
          <w:top w:val="nil"/>
          <w:left w:val="nil"/>
          <w:bottom w:val="nil"/>
          <w:right w:val="nil"/>
          <w:between w:val="nil"/>
        </w:pBdr>
        <w:spacing w:before="12" w:after="0" w:line="276" w:lineRule="auto"/>
        <w:rPr>
          <w:rFonts w:ascii="Arial Narrow" w:eastAsia="Arial Narrow" w:hAnsi="Arial Narrow" w:cs="Arial Narrow"/>
          <w:color w:val="000000"/>
          <w:sz w:val="24"/>
          <w:szCs w:val="24"/>
        </w:rPr>
      </w:pPr>
    </w:p>
    <w:p w14:paraId="58D65F45" w14:textId="77777777" w:rsidR="000F098B" w:rsidRDefault="00F93E5A">
      <w:pPr>
        <w:numPr>
          <w:ilvl w:val="0"/>
          <w:numId w:val="5"/>
        </w:numPr>
        <w:pBdr>
          <w:top w:val="nil"/>
          <w:left w:val="nil"/>
          <w:bottom w:val="nil"/>
          <w:right w:val="nil"/>
          <w:between w:val="nil"/>
        </w:pBdr>
        <w:spacing w:line="276" w:lineRule="auto"/>
        <w:ind w:left="284"/>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b/>
        <w:t>Eje turístico.</w:t>
      </w:r>
    </w:p>
    <w:p w14:paraId="3311C9C9"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país existen varios ejemplos de embalses con una vocación turística, complementado de forma integral con la conservación de los recursos naturales y las oportunidades de trabajo, pesca y agricultura de los habitantes de la zona.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cuenta con todo el potencial y los recursos para adelantar iniciativas turísticas que generen desarrollo económico a la región, de la mano </w:t>
      </w:r>
      <w:r>
        <w:rPr>
          <w:rFonts w:ascii="Arial Narrow" w:eastAsia="Arial Narrow" w:hAnsi="Arial Narrow" w:cs="Arial Narrow"/>
          <w:sz w:val="24"/>
          <w:szCs w:val="24"/>
        </w:rPr>
        <w:lastRenderedPageBreak/>
        <w:t>de una cultura sostenible, y una aplicación adecuada de la capacidad de carga</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xml:space="preserve"> en el ecosistema del embalse.</w:t>
      </w:r>
    </w:p>
    <w:p w14:paraId="4C76F731" w14:textId="7777777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visibilizar el potencial que se podría alcanzar con la presente iniciativa legislativa en 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se relacionan a continuación dos casos de éxito de desarrollo turístico integral, casos de éxito que han logrado conjugar actividades turísticas que generan progreso y avance de los municipios y sus habitantes, con la protección y conservación de los recursos naturales.</w:t>
      </w:r>
    </w:p>
    <w:p w14:paraId="0AF5DE1B" w14:textId="77777777" w:rsidR="000F098B" w:rsidRDefault="00F93E5A">
      <w:pPr>
        <w:pStyle w:val="Ttulo2"/>
        <w:numPr>
          <w:ilvl w:val="1"/>
          <w:numId w:val="6"/>
        </w:numPr>
        <w:spacing w:line="276" w:lineRule="auto"/>
        <w:ind w:left="0" w:firstLine="0"/>
        <w:rPr>
          <w:rFonts w:ascii="Arial Narrow" w:eastAsia="Arial Narrow" w:hAnsi="Arial Narrow" w:cs="Arial Narrow"/>
        </w:rPr>
      </w:pPr>
      <w:r>
        <w:rPr>
          <w:rFonts w:ascii="Arial Narrow" w:eastAsia="Arial Narrow" w:hAnsi="Arial Narrow" w:cs="Arial Narrow"/>
        </w:rPr>
        <w:t xml:space="preserve">Embalse De </w:t>
      </w:r>
      <w:proofErr w:type="spellStart"/>
      <w:r>
        <w:rPr>
          <w:rFonts w:ascii="Arial Narrow" w:eastAsia="Arial Narrow" w:hAnsi="Arial Narrow" w:cs="Arial Narrow"/>
        </w:rPr>
        <w:t>Topocoro</w:t>
      </w:r>
      <w:proofErr w:type="spellEnd"/>
      <w:r>
        <w:rPr>
          <w:rFonts w:ascii="Arial Narrow" w:eastAsia="Arial Narrow" w:hAnsi="Arial Narrow" w:cs="Arial Narrow"/>
        </w:rPr>
        <w:t xml:space="preserve"> (Santander)</w:t>
      </w:r>
    </w:p>
    <w:p w14:paraId="15567A58" w14:textId="77777777" w:rsidR="000F098B" w:rsidRDefault="00F93E5A">
      <w:pPr>
        <w:widowControl w:val="0"/>
        <w:pBdr>
          <w:top w:val="nil"/>
          <w:left w:val="nil"/>
          <w:bottom w:val="nil"/>
          <w:right w:val="nil"/>
          <w:between w:val="nil"/>
        </w:pBdr>
        <w:spacing w:before="159" w:after="0" w:line="276" w:lineRule="auto"/>
        <w:ind w:right="73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dos horas de la capital de Santander se encuentra el embalse del </w:t>
      </w:r>
      <w:proofErr w:type="spellStart"/>
      <w:r>
        <w:rPr>
          <w:rFonts w:ascii="Arial Narrow" w:eastAsia="Arial Narrow" w:hAnsi="Arial Narrow" w:cs="Arial Narrow"/>
          <w:color w:val="000000"/>
          <w:sz w:val="24"/>
          <w:szCs w:val="24"/>
        </w:rPr>
        <w:t>Topocoro</w:t>
      </w:r>
      <w:proofErr w:type="spellEnd"/>
      <w:r>
        <w:rPr>
          <w:rFonts w:ascii="Arial Narrow" w:eastAsia="Arial Narrow" w:hAnsi="Arial Narrow" w:cs="Arial Narrow"/>
          <w:color w:val="000000"/>
          <w:sz w:val="24"/>
          <w:szCs w:val="24"/>
        </w:rPr>
        <w:t xml:space="preserve">, un espejo de agua que abarca 7.000 hectáreas en seis municipios del departamento, en el cual se realizan actividades económicas, deportivas y recreativas, existe una clara delimitación de zonas protegidas y explotación piscícola. En atención a la existencia de 25 embarcaderos públicos, el Ministerio de Transporte </w:t>
      </w:r>
      <w:r>
        <w:rPr>
          <w:rFonts w:ascii="Arial Narrow" w:eastAsia="Arial Narrow" w:hAnsi="Arial Narrow" w:cs="Arial Narrow"/>
          <w:sz w:val="24"/>
          <w:szCs w:val="24"/>
        </w:rPr>
        <w:t>instaló</w:t>
      </w:r>
      <w:r>
        <w:rPr>
          <w:rFonts w:ascii="Arial Narrow" w:eastAsia="Arial Narrow" w:hAnsi="Arial Narrow" w:cs="Arial Narrow"/>
          <w:color w:val="000000"/>
          <w:sz w:val="24"/>
          <w:szCs w:val="24"/>
        </w:rPr>
        <w:t xml:space="preserve"> una inspección fluvial para la vigilancia </w:t>
      </w:r>
      <w:r>
        <w:rPr>
          <w:rFonts w:ascii="Arial Narrow" w:eastAsia="Arial Narrow" w:hAnsi="Arial Narrow" w:cs="Arial Narrow"/>
          <w:sz w:val="24"/>
          <w:szCs w:val="24"/>
        </w:rPr>
        <w:t>del uso</w:t>
      </w:r>
      <w:r>
        <w:rPr>
          <w:rFonts w:ascii="Arial Narrow" w:eastAsia="Arial Narrow" w:hAnsi="Arial Narrow" w:cs="Arial Narrow"/>
          <w:color w:val="000000"/>
          <w:sz w:val="24"/>
          <w:szCs w:val="24"/>
        </w:rPr>
        <w:t xml:space="preserve"> del embalse.</w:t>
      </w:r>
    </w:p>
    <w:p w14:paraId="31A02EDA" w14:textId="77777777" w:rsidR="000F098B" w:rsidRDefault="000F098B">
      <w:pPr>
        <w:widowControl w:val="0"/>
        <w:pBdr>
          <w:top w:val="nil"/>
          <w:left w:val="nil"/>
          <w:bottom w:val="nil"/>
          <w:right w:val="nil"/>
          <w:between w:val="nil"/>
        </w:pBdr>
        <w:spacing w:before="10" w:after="0" w:line="276" w:lineRule="auto"/>
        <w:rPr>
          <w:rFonts w:ascii="Arial Narrow" w:eastAsia="Arial Narrow" w:hAnsi="Arial Narrow" w:cs="Arial Narrow"/>
          <w:color w:val="000000"/>
          <w:sz w:val="24"/>
          <w:szCs w:val="24"/>
        </w:rPr>
      </w:pPr>
    </w:p>
    <w:p w14:paraId="69323377" w14:textId="77777777" w:rsidR="000F098B" w:rsidRDefault="00F93E5A">
      <w:pPr>
        <w:widowControl w:val="0"/>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Existe una gran oferta de actividades para turistas nacionales y extranjeros como el avistamiento de aves, senderismo y turismo ecológico. Así mismo se habilitó el 53.7% del área del embalse para que los habitantes de los municipios realicen proyectos de piscicultura artesanal y de subsistencia, es importante resaltar que la zona cuenta con más de 40 especies de peces y se realiza pesca artesanal de muchas de ellas</w:t>
      </w:r>
      <w:r>
        <w:rPr>
          <w:rFonts w:ascii="Arial Narrow" w:eastAsia="Arial Narrow" w:hAnsi="Arial Narrow" w:cs="Arial Narrow"/>
          <w:color w:val="000000"/>
          <w:sz w:val="24"/>
          <w:szCs w:val="24"/>
          <w:vertAlign w:val="superscript"/>
        </w:rPr>
        <w:footnoteReference w:id="4"/>
      </w:r>
      <w:r>
        <w:rPr>
          <w:rFonts w:ascii="Arial Narrow" w:eastAsia="Arial Narrow" w:hAnsi="Arial Narrow" w:cs="Arial Narrow"/>
          <w:color w:val="000000"/>
          <w:sz w:val="24"/>
          <w:szCs w:val="24"/>
        </w:rPr>
        <w:t>.</w:t>
      </w:r>
    </w:p>
    <w:p w14:paraId="45ED4701" w14:textId="77777777" w:rsidR="000F098B" w:rsidRDefault="000F098B">
      <w:pPr>
        <w:widowControl w:val="0"/>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p>
    <w:p w14:paraId="3AC9C4FC" w14:textId="77777777" w:rsidR="000F098B" w:rsidRDefault="00F93E5A">
      <w:pPr>
        <w:pStyle w:val="Ttulo2"/>
        <w:numPr>
          <w:ilvl w:val="1"/>
          <w:numId w:val="6"/>
        </w:numPr>
        <w:spacing w:before="100" w:line="276" w:lineRule="auto"/>
        <w:ind w:left="142" w:firstLine="0"/>
        <w:rPr>
          <w:rFonts w:ascii="Arial Narrow" w:eastAsia="Arial Narrow" w:hAnsi="Arial Narrow" w:cs="Arial Narrow"/>
        </w:rPr>
      </w:pPr>
      <w:r>
        <w:rPr>
          <w:rFonts w:ascii="Arial Narrow" w:eastAsia="Arial Narrow" w:hAnsi="Arial Narrow" w:cs="Arial Narrow"/>
        </w:rPr>
        <w:t>Embalse Guatapé (Antioquia)</w:t>
      </w:r>
    </w:p>
    <w:p w14:paraId="6996C64B" w14:textId="77777777" w:rsidR="000F098B" w:rsidRDefault="00F93E5A">
      <w:pPr>
        <w:widowControl w:val="0"/>
        <w:pBdr>
          <w:top w:val="nil"/>
          <w:left w:val="nil"/>
          <w:bottom w:val="nil"/>
          <w:right w:val="nil"/>
          <w:between w:val="nil"/>
        </w:pBdr>
        <w:spacing w:before="159" w:after="0" w:line="276" w:lineRule="auto"/>
        <w:ind w:left="142" w:right="73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Ubicado a 62 km al oriente de Medellín, tiene una extensión de aproximadamente 2.262 hectáreas, su proyección como destino turístico ha hecho que el municipio de Guatapé sostenga su economía hasta en un 60% a razón del turismo. Ha realizado inversiones en infraestructura hotelera, los restaurantes, las lanchas y barcos, para el desarrollo de una fuerte economía turística. En los años 90, existían tan solo 3 o 4 hoteles y para el año 2017 </w:t>
      </w:r>
      <w:r>
        <w:rPr>
          <w:rFonts w:ascii="Arial Narrow" w:eastAsia="Arial Narrow" w:hAnsi="Arial Narrow" w:cs="Arial Narrow"/>
          <w:color w:val="000000"/>
          <w:sz w:val="24"/>
          <w:szCs w:val="24"/>
        </w:rPr>
        <w:lastRenderedPageBreak/>
        <w:t>el municipio ya contaba con más 40 hoteles y 15 hostales</w:t>
      </w:r>
      <w:r>
        <w:rPr>
          <w:rFonts w:ascii="Arial Narrow" w:eastAsia="Arial Narrow" w:hAnsi="Arial Narrow" w:cs="Arial Narrow"/>
          <w:color w:val="000000"/>
          <w:sz w:val="24"/>
          <w:szCs w:val="24"/>
          <w:vertAlign w:val="superscript"/>
        </w:rPr>
        <w:footnoteReference w:id="5"/>
      </w:r>
      <w:r>
        <w:rPr>
          <w:rFonts w:ascii="Arial Narrow" w:eastAsia="Arial Narrow" w:hAnsi="Arial Narrow" w:cs="Arial Narrow"/>
          <w:color w:val="000000"/>
          <w:sz w:val="24"/>
          <w:szCs w:val="24"/>
        </w:rPr>
        <w:t>.</w:t>
      </w:r>
    </w:p>
    <w:p w14:paraId="584227C7" w14:textId="77777777" w:rsidR="000F098B" w:rsidRDefault="000F098B">
      <w:pPr>
        <w:widowControl w:val="0"/>
        <w:pBdr>
          <w:top w:val="nil"/>
          <w:left w:val="nil"/>
          <w:bottom w:val="nil"/>
          <w:right w:val="nil"/>
          <w:between w:val="nil"/>
        </w:pBdr>
        <w:spacing w:before="11" w:after="0" w:line="276" w:lineRule="auto"/>
        <w:ind w:left="142"/>
        <w:rPr>
          <w:rFonts w:ascii="Arial Narrow" w:eastAsia="Arial Narrow" w:hAnsi="Arial Narrow" w:cs="Arial Narrow"/>
          <w:color w:val="000000"/>
          <w:sz w:val="24"/>
          <w:szCs w:val="24"/>
        </w:rPr>
      </w:pPr>
    </w:p>
    <w:p w14:paraId="7CFCD2C8" w14:textId="77777777" w:rsidR="000F098B" w:rsidRDefault="00F93E5A">
      <w:pPr>
        <w:widowControl w:val="0"/>
        <w:pBdr>
          <w:top w:val="nil"/>
          <w:left w:val="nil"/>
          <w:bottom w:val="nil"/>
          <w:right w:val="nil"/>
          <w:between w:val="nil"/>
        </w:pBdr>
        <w:spacing w:after="0" w:line="276" w:lineRule="auto"/>
        <w:ind w:left="142"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Malecón de Guatapé ha desarrollado una gran oferta gastronómica, con una gran variedad de restaurantes con oferta de platos típicos. Se realizan festivales náuticos, torneos nacionales de kayak y se practica la pesca deportiva. Lugares adecuados para la práctica de deportes extremos y alquiler de Veleros, Kayak, </w:t>
      </w:r>
      <w:proofErr w:type="gramStart"/>
      <w:r>
        <w:rPr>
          <w:rFonts w:ascii="Arial Narrow" w:eastAsia="Arial Narrow" w:hAnsi="Arial Narrow" w:cs="Arial Narrow"/>
          <w:color w:val="000000"/>
          <w:sz w:val="24"/>
          <w:szCs w:val="24"/>
        </w:rPr>
        <w:t>motos acuáticas y Esquí acuático</w:t>
      </w:r>
      <w:proofErr w:type="gramEnd"/>
      <w:r>
        <w:rPr>
          <w:rFonts w:ascii="Arial Narrow" w:eastAsia="Arial Narrow" w:hAnsi="Arial Narrow" w:cs="Arial Narrow"/>
          <w:color w:val="000000"/>
          <w:sz w:val="24"/>
          <w:szCs w:val="24"/>
        </w:rPr>
        <w:t xml:space="preserve">. Otras actividades son el </w:t>
      </w:r>
      <w:proofErr w:type="spellStart"/>
      <w:r>
        <w:rPr>
          <w:rFonts w:ascii="Arial Narrow" w:eastAsia="Arial Narrow" w:hAnsi="Arial Narrow" w:cs="Arial Narrow"/>
          <w:color w:val="000000"/>
          <w:sz w:val="24"/>
          <w:szCs w:val="24"/>
        </w:rPr>
        <w:t>ciclomontañismo</w:t>
      </w:r>
      <w:proofErr w:type="spellEnd"/>
      <w:r>
        <w:rPr>
          <w:rFonts w:ascii="Arial Narrow" w:eastAsia="Arial Narrow" w:hAnsi="Arial Narrow" w:cs="Arial Narrow"/>
          <w:color w:val="000000"/>
          <w:sz w:val="24"/>
          <w:szCs w:val="24"/>
        </w:rPr>
        <w:t>, Cabalgatas, caminatas por senderos, camping, piscinas naturales, zonas de pesca, entre otros.</w:t>
      </w:r>
    </w:p>
    <w:p w14:paraId="0A2F4C87" w14:textId="77777777" w:rsidR="000F098B" w:rsidRDefault="000F098B">
      <w:pPr>
        <w:widowControl w:val="0"/>
        <w:pBdr>
          <w:top w:val="nil"/>
          <w:left w:val="nil"/>
          <w:bottom w:val="nil"/>
          <w:right w:val="nil"/>
          <w:between w:val="nil"/>
        </w:pBdr>
        <w:spacing w:before="1" w:after="0" w:line="276" w:lineRule="auto"/>
        <w:ind w:left="142"/>
        <w:rPr>
          <w:rFonts w:ascii="Arial Narrow" w:eastAsia="Arial Narrow" w:hAnsi="Arial Narrow" w:cs="Arial Narrow"/>
          <w:color w:val="000000"/>
          <w:sz w:val="24"/>
          <w:szCs w:val="24"/>
        </w:rPr>
      </w:pPr>
    </w:p>
    <w:p w14:paraId="539792E9" w14:textId="77777777" w:rsidR="000F098B" w:rsidRDefault="00F93E5A">
      <w:pPr>
        <w:spacing w:before="1" w:line="276" w:lineRule="auto"/>
        <w:ind w:left="142" w:right="733"/>
        <w:jc w:val="both"/>
        <w:rPr>
          <w:rFonts w:ascii="Arial Narrow" w:eastAsia="Arial Narrow" w:hAnsi="Arial Narrow" w:cs="Arial Narrow"/>
          <w:sz w:val="24"/>
          <w:szCs w:val="24"/>
        </w:rPr>
      </w:pPr>
      <w:r>
        <w:rPr>
          <w:rFonts w:ascii="Arial Narrow" w:eastAsia="Arial Narrow" w:hAnsi="Arial Narrow" w:cs="Arial Narrow"/>
          <w:sz w:val="24"/>
          <w:szCs w:val="24"/>
        </w:rPr>
        <w:t>Según cifras de la Secretaría de Turismo municipal en el año 2018, “</w:t>
      </w:r>
      <w:r>
        <w:rPr>
          <w:rFonts w:ascii="Arial Narrow" w:eastAsia="Arial Narrow" w:hAnsi="Arial Narrow" w:cs="Arial Narrow"/>
          <w:i/>
          <w:sz w:val="24"/>
          <w:szCs w:val="24"/>
        </w:rPr>
        <w:t>en semana reciben diariamente cerca de 1.000 visitantes, mientras que los fines de semana pueden llegar hasta 3.500, una cifra que se incrementa si es puente festivo, cuando han llegado hasta 7.000 personas, poco más que la población de Guatapé 6.970 habitantes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6"/>
      </w:r>
    </w:p>
    <w:p w14:paraId="78EBD380" w14:textId="77777777" w:rsidR="000F098B" w:rsidRDefault="000F098B">
      <w:pPr>
        <w:widowControl w:val="0"/>
        <w:pBdr>
          <w:top w:val="nil"/>
          <w:left w:val="nil"/>
          <w:bottom w:val="nil"/>
          <w:right w:val="nil"/>
          <w:between w:val="nil"/>
        </w:pBdr>
        <w:spacing w:before="11" w:after="0" w:line="276" w:lineRule="auto"/>
        <w:ind w:left="142"/>
        <w:rPr>
          <w:rFonts w:ascii="Arial Narrow" w:eastAsia="Arial Narrow" w:hAnsi="Arial Narrow" w:cs="Arial Narrow"/>
          <w:color w:val="000000"/>
          <w:sz w:val="24"/>
          <w:szCs w:val="24"/>
        </w:rPr>
      </w:pPr>
    </w:p>
    <w:p w14:paraId="0A1DD40F" w14:textId="77777777" w:rsidR="000F098B" w:rsidRDefault="00F93E5A">
      <w:pPr>
        <w:widowControl w:val="0"/>
        <w:pBdr>
          <w:top w:val="nil"/>
          <w:left w:val="nil"/>
          <w:bottom w:val="nil"/>
          <w:right w:val="nil"/>
          <w:between w:val="nil"/>
        </w:pBdr>
        <w:spacing w:after="0" w:line="276" w:lineRule="auto"/>
        <w:ind w:left="142"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requiere actualmente una importante intervención para salvaguardar sus recursos naturales, restituir zonas protegidas, adecuado manejo de aguas y residuos, apoyo a las cooperativas de pescadores para garantizar la seguridad alimentaria de la zona, entre muchas otras necesidades que deben ser atendidas por el gobierno nacional y los entes territoriales. Atender los anteriores requerimientos permitirá visibilizar las oportunidades y recursos con los que cuenta el embalse para promover un desarrollo turístico sostenible, que brinde generación de empleo, crecimiento económico y desarrollo de emprendimientos a los municipios de Sabanalarga, Repelón, Manatí y Luruaco en el departamento del Atlántico.</w:t>
      </w:r>
    </w:p>
    <w:p w14:paraId="355CEEFC" w14:textId="77777777" w:rsidR="000F098B" w:rsidRDefault="000F098B">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p>
    <w:p w14:paraId="4949017A" w14:textId="77777777" w:rsidR="000F098B" w:rsidRDefault="00F93E5A">
      <w:pPr>
        <w:pStyle w:val="Ttulo2"/>
        <w:numPr>
          <w:ilvl w:val="0"/>
          <w:numId w:val="6"/>
        </w:numPr>
        <w:spacing w:before="88" w:line="276" w:lineRule="auto"/>
        <w:ind w:left="0" w:firstLine="0"/>
        <w:rPr>
          <w:rFonts w:ascii="Arial Narrow" w:eastAsia="Arial Narrow" w:hAnsi="Arial Narrow" w:cs="Arial Narrow"/>
        </w:rPr>
      </w:pPr>
      <w:r>
        <w:rPr>
          <w:rFonts w:ascii="Arial Narrow" w:eastAsia="Arial Narrow" w:hAnsi="Arial Narrow" w:cs="Arial Narrow"/>
        </w:rPr>
        <w:t>Eje de actividad pesquera</w:t>
      </w:r>
    </w:p>
    <w:p w14:paraId="10CA8D8C" w14:textId="77777777" w:rsidR="000F098B" w:rsidRDefault="000F098B">
      <w:pPr>
        <w:widowControl w:val="0"/>
        <w:pBdr>
          <w:top w:val="nil"/>
          <w:left w:val="nil"/>
          <w:bottom w:val="nil"/>
          <w:right w:val="nil"/>
          <w:between w:val="nil"/>
        </w:pBdr>
        <w:spacing w:before="2" w:after="0" w:line="276" w:lineRule="auto"/>
        <w:rPr>
          <w:rFonts w:ascii="Arial Narrow" w:eastAsia="Arial Narrow" w:hAnsi="Arial Narrow" w:cs="Arial Narrow"/>
          <w:b/>
          <w:color w:val="000000"/>
          <w:sz w:val="24"/>
          <w:szCs w:val="24"/>
        </w:rPr>
      </w:pPr>
    </w:p>
    <w:p w14:paraId="45A500BC" w14:textId="77777777" w:rsidR="000F098B" w:rsidRDefault="00F93E5A">
      <w:pPr>
        <w:widowControl w:val="0"/>
        <w:pBdr>
          <w:top w:val="nil"/>
          <w:left w:val="nil"/>
          <w:bottom w:val="nil"/>
          <w:right w:val="nil"/>
          <w:between w:val="nil"/>
        </w:pBdr>
        <w:spacing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embalse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que se encuentra entre los municipios de Repelón, Manatí, Luruaco y Sabanalarga en el Atlántico cuyo departamento mostró una producción piscícola estimada de </w:t>
      </w:r>
      <w:r>
        <w:rPr>
          <w:rFonts w:ascii="Arial Narrow" w:eastAsia="Arial Narrow" w:hAnsi="Arial Narrow" w:cs="Arial Narrow"/>
          <w:color w:val="000000"/>
          <w:sz w:val="24"/>
          <w:szCs w:val="24"/>
        </w:rPr>
        <w:lastRenderedPageBreak/>
        <w:t>1.700 toneladas en 2018 y 2.252 tonelada en el primer semestre 2019 con crecimiento un de 32% al primer semestre del 2019</w:t>
      </w:r>
      <w:r>
        <w:rPr>
          <w:rFonts w:ascii="Arial Narrow" w:eastAsia="Arial Narrow" w:hAnsi="Arial Narrow" w:cs="Arial Narrow"/>
          <w:color w:val="000000"/>
          <w:sz w:val="24"/>
          <w:szCs w:val="24"/>
          <w:vertAlign w:val="superscript"/>
        </w:rPr>
        <w:footnoteReference w:id="7"/>
      </w:r>
      <w:r>
        <w:rPr>
          <w:rFonts w:ascii="Arial Narrow" w:eastAsia="Arial Narrow" w:hAnsi="Arial Narrow" w:cs="Arial Narrow"/>
          <w:color w:val="000000"/>
          <w:sz w:val="24"/>
          <w:szCs w:val="24"/>
        </w:rPr>
        <w:t xml:space="preserve">, se considera con gran potencial pesquero debido a su gran extensión de 16.000 hectáreas puesto que la pesca es el producto principal que brinda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que es el cuerpo de agua más grande del departamento</w:t>
      </w:r>
      <w:r>
        <w:rPr>
          <w:rFonts w:ascii="Arial Narrow" w:eastAsia="Arial Narrow" w:hAnsi="Arial Narrow" w:cs="Arial Narrow"/>
          <w:color w:val="000000"/>
          <w:sz w:val="24"/>
          <w:szCs w:val="24"/>
          <w:vertAlign w:val="superscript"/>
        </w:rPr>
        <w:footnoteReference w:id="8"/>
      </w:r>
      <w:r>
        <w:rPr>
          <w:rFonts w:ascii="Arial Narrow" w:eastAsia="Arial Narrow" w:hAnsi="Arial Narrow" w:cs="Arial Narrow"/>
          <w:color w:val="000000"/>
          <w:sz w:val="24"/>
          <w:szCs w:val="24"/>
        </w:rPr>
        <w:t>. Cabe resaltar que la producción piscícola estimada total del país fue 129.410 toneladas en 2018 y 79.526 toneladas para el primer semestre del 2019 nominalmente representando un 0.19% del PIB de Colombia.</w:t>
      </w:r>
      <w:r>
        <w:rPr>
          <w:rFonts w:ascii="Arial Narrow" w:eastAsia="Arial Narrow" w:hAnsi="Arial Narrow" w:cs="Arial Narrow"/>
          <w:color w:val="000000"/>
          <w:sz w:val="24"/>
          <w:szCs w:val="24"/>
          <w:vertAlign w:val="superscript"/>
        </w:rPr>
        <w:footnoteReference w:id="9"/>
      </w:r>
      <w:r>
        <w:rPr>
          <w:rFonts w:ascii="Arial Narrow" w:eastAsia="Arial Narrow" w:hAnsi="Arial Narrow" w:cs="Arial Narrow"/>
          <w:color w:val="000000"/>
          <w:sz w:val="24"/>
          <w:szCs w:val="24"/>
        </w:rPr>
        <w:t xml:space="preserve"> Dicho proceso de fortalecimiento de la actividad pesquera busca igualmente promover una seguridad alimentaria en la zona, que le permita a los habitantes recurrir a esta actividad productiva y proveerse de la misma.</w:t>
      </w:r>
    </w:p>
    <w:p w14:paraId="661A1412" w14:textId="77777777" w:rsidR="000F098B" w:rsidRDefault="000F098B">
      <w:pPr>
        <w:widowControl w:val="0"/>
        <w:pBdr>
          <w:top w:val="nil"/>
          <w:left w:val="nil"/>
          <w:bottom w:val="nil"/>
          <w:right w:val="nil"/>
          <w:between w:val="nil"/>
        </w:pBdr>
        <w:spacing w:before="1" w:after="0" w:line="276" w:lineRule="auto"/>
        <w:rPr>
          <w:rFonts w:ascii="Arial Narrow" w:eastAsia="Arial Narrow" w:hAnsi="Arial Narrow" w:cs="Arial Narrow"/>
          <w:color w:val="000000"/>
          <w:sz w:val="24"/>
          <w:szCs w:val="24"/>
        </w:rPr>
      </w:pPr>
    </w:p>
    <w:p w14:paraId="1180E656" w14:textId="77777777" w:rsidR="000F098B" w:rsidRDefault="00F93E5A">
      <w:pPr>
        <w:widowControl w:val="0"/>
        <w:pBdr>
          <w:top w:val="nil"/>
          <w:left w:val="nil"/>
          <w:bottom w:val="nil"/>
          <w:right w:val="nil"/>
          <w:between w:val="nil"/>
        </w:pBdr>
        <w:spacing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pesca se encuentra como fuente para la inclusión social al ser una herramienta para la generación de empleo. Pero dentro de las aguas del departamento no hay un proceso tecnológico que genere valor agregado al producto de la </w:t>
      </w:r>
      <w:proofErr w:type="gramStart"/>
      <w:r>
        <w:rPr>
          <w:rFonts w:ascii="Arial Narrow" w:eastAsia="Arial Narrow" w:hAnsi="Arial Narrow" w:cs="Arial Narrow"/>
          <w:color w:val="000000"/>
          <w:sz w:val="24"/>
          <w:szCs w:val="24"/>
        </w:rPr>
        <w:t>pesca</w:t>
      </w:r>
      <w:proofErr w:type="gramEnd"/>
      <w:r>
        <w:rPr>
          <w:rFonts w:ascii="Arial Narrow" w:eastAsia="Arial Narrow" w:hAnsi="Arial Narrow" w:cs="Arial Narrow"/>
          <w:color w:val="000000"/>
          <w:sz w:val="24"/>
          <w:szCs w:val="24"/>
        </w:rPr>
        <w:t xml:space="preserve"> sino que su mayoría se destina al consumo fresco y comercialización, además dentro del embalse todavía se maneja un sistema de artesanal lo cual podría reflejar un sistema productivo no optimo y poco rentable, teniendo en cuenta las 16.000 ha con las que cuenta el embalse, por lo tanto se busca la evolución de estos procesos para el mejoramiento agroindustrial.</w:t>
      </w:r>
      <w:r>
        <w:rPr>
          <w:rFonts w:ascii="Arial Narrow" w:eastAsia="Arial Narrow" w:hAnsi="Arial Narrow" w:cs="Arial Narrow"/>
          <w:color w:val="000000"/>
          <w:sz w:val="24"/>
          <w:szCs w:val="24"/>
          <w:vertAlign w:val="superscript"/>
        </w:rPr>
        <w:t xml:space="preserve"> </w:t>
      </w:r>
      <w:r>
        <w:rPr>
          <w:rFonts w:ascii="Arial Narrow" w:eastAsia="Arial Narrow" w:hAnsi="Arial Narrow" w:cs="Arial Narrow"/>
          <w:color w:val="000000"/>
          <w:sz w:val="24"/>
          <w:szCs w:val="24"/>
          <w:vertAlign w:val="superscript"/>
        </w:rPr>
        <w:footnoteReference w:id="10"/>
      </w:r>
      <w:r>
        <w:rPr>
          <w:rFonts w:ascii="Arial Narrow" w:eastAsia="Arial Narrow" w:hAnsi="Arial Narrow" w:cs="Arial Narrow"/>
          <w:color w:val="000000"/>
          <w:sz w:val="24"/>
          <w:szCs w:val="24"/>
          <w:vertAlign w:val="superscript"/>
        </w:rPr>
        <w:t xml:space="preserve"> </w:t>
      </w:r>
      <w:r>
        <w:rPr>
          <w:rFonts w:ascii="Arial Narrow" w:eastAsia="Arial Narrow" w:hAnsi="Arial Narrow" w:cs="Arial Narrow"/>
          <w:color w:val="000000"/>
          <w:sz w:val="24"/>
          <w:szCs w:val="24"/>
        </w:rPr>
        <w:t>De este modo, según la Secretaría Técnica Cadena Nacional Acuicultura Del 2009 al 2018 la generación de empleo del sector acuicultura mostró un incremento promedio anual del 5%</w:t>
      </w:r>
      <w:r>
        <w:rPr>
          <w:rFonts w:ascii="Arial Narrow" w:eastAsia="Arial Narrow" w:hAnsi="Arial Narrow" w:cs="Arial Narrow"/>
          <w:color w:val="000000"/>
          <w:sz w:val="24"/>
          <w:szCs w:val="24"/>
          <w:vertAlign w:val="superscript"/>
        </w:rPr>
        <w:footnoteReference w:id="11"/>
      </w:r>
      <w:r>
        <w:rPr>
          <w:rFonts w:ascii="Arial Narrow" w:eastAsia="Arial Narrow" w:hAnsi="Arial Narrow" w:cs="Arial Narrow"/>
          <w:color w:val="000000"/>
          <w:sz w:val="24"/>
          <w:szCs w:val="24"/>
        </w:rPr>
        <w:t>, y se quiere mejorar este resultado.</w:t>
      </w:r>
    </w:p>
    <w:p w14:paraId="19112505" w14:textId="77777777" w:rsidR="000F098B" w:rsidRDefault="00F93E5A">
      <w:pPr>
        <w:widowControl w:val="0"/>
        <w:pBdr>
          <w:top w:val="nil"/>
          <w:left w:val="nil"/>
          <w:bottom w:val="nil"/>
          <w:right w:val="nil"/>
          <w:between w:val="nil"/>
        </w:pBdr>
        <w:spacing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Una investigación realizada por la División de Investigaciones Pesqueras, el Centro de Investigaciones Pesqueras y la INDERENA (Instituto Nacional De Los Recursos Naturales Renovables Y Del Medio Ambiente – </w:t>
      </w:r>
      <w:r>
        <w:rPr>
          <w:rFonts w:ascii="Arial Narrow" w:eastAsia="Arial Narrow" w:hAnsi="Arial Narrow" w:cs="Arial Narrow"/>
          <w:i/>
          <w:color w:val="000000"/>
          <w:sz w:val="24"/>
          <w:szCs w:val="24"/>
        </w:rPr>
        <w:t>Institución Actualmente No Existente</w:t>
      </w:r>
      <w:r>
        <w:rPr>
          <w:rFonts w:ascii="Arial Narrow" w:eastAsia="Arial Narrow" w:hAnsi="Arial Narrow" w:cs="Arial Narrow"/>
          <w:color w:val="000000"/>
          <w:sz w:val="24"/>
          <w:szCs w:val="24"/>
        </w:rPr>
        <w:t>) titulado:</w:t>
      </w:r>
    </w:p>
    <w:p w14:paraId="41C5F800" w14:textId="77777777" w:rsidR="000F098B" w:rsidRDefault="00F93E5A">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14:paraId="62C7E0E7" w14:textId="77777777" w:rsidR="000F098B" w:rsidRDefault="00F93E5A">
      <w:pPr>
        <w:spacing w:before="52" w:line="276" w:lineRule="auto"/>
        <w:ind w:right="735"/>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w:t>
      </w:r>
      <w:r>
        <w:rPr>
          <w:rFonts w:ascii="Arial Narrow" w:eastAsia="Arial Narrow" w:hAnsi="Arial Narrow" w:cs="Arial Narrow"/>
          <w:i/>
          <w:sz w:val="24"/>
          <w:szCs w:val="24"/>
        </w:rPr>
        <w:t xml:space="preserve">Evaluación De Las Pesquerías Del Embalse De El </w:t>
      </w:r>
      <w:proofErr w:type="spellStart"/>
      <w:r>
        <w:rPr>
          <w:rFonts w:ascii="Arial Narrow" w:eastAsia="Arial Narrow" w:hAnsi="Arial Narrow" w:cs="Arial Narrow"/>
          <w:i/>
          <w:sz w:val="24"/>
          <w:szCs w:val="24"/>
        </w:rPr>
        <w:t>Guájaro</w:t>
      </w:r>
      <w:proofErr w:type="spellEnd"/>
      <w:r>
        <w:rPr>
          <w:rFonts w:ascii="Arial Narrow" w:eastAsia="Arial Narrow" w:hAnsi="Arial Narrow" w:cs="Arial Narrow"/>
          <w:i/>
          <w:sz w:val="24"/>
          <w:szCs w:val="24"/>
        </w:rPr>
        <w:t>, Colombia</w:t>
      </w:r>
      <w:r>
        <w:rPr>
          <w:rFonts w:ascii="Arial Narrow" w:eastAsia="Arial Narrow" w:hAnsi="Arial Narrow" w:cs="Arial Narrow"/>
          <w:sz w:val="24"/>
          <w:szCs w:val="24"/>
        </w:rPr>
        <w:t>” que se presentó en el trabajo “</w:t>
      </w:r>
      <w:r>
        <w:rPr>
          <w:rFonts w:ascii="Arial Narrow" w:eastAsia="Arial Narrow" w:hAnsi="Arial Narrow" w:cs="Arial Narrow"/>
          <w:i/>
          <w:sz w:val="24"/>
          <w:szCs w:val="24"/>
        </w:rPr>
        <w:t>Trabajos presentados al Segundo Taller Internacional sobre Ecología y Manejo de Peces en Lagos y Embalses</w:t>
      </w:r>
      <w:r>
        <w:rPr>
          <w:rFonts w:ascii="Arial Narrow" w:eastAsia="Arial Narrow" w:hAnsi="Arial Narrow" w:cs="Arial Narrow"/>
          <w:sz w:val="24"/>
          <w:szCs w:val="24"/>
        </w:rPr>
        <w:t>” (1987) reconoce el potencial pesquero del embalse concluyendo que:</w:t>
      </w:r>
      <w:r>
        <w:rPr>
          <w:rFonts w:ascii="Arial Narrow" w:eastAsia="Arial Narrow" w:hAnsi="Arial Narrow" w:cs="Arial Narrow"/>
          <w:sz w:val="24"/>
          <w:szCs w:val="24"/>
          <w:vertAlign w:val="superscript"/>
        </w:rPr>
        <w:footnoteReference w:id="12"/>
      </w:r>
    </w:p>
    <w:p w14:paraId="290BF402" w14:textId="77777777" w:rsidR="000F098B" w:rsidRDefault="00F93E5A">
      <w:pPr>
        <w:widowControl w:val="0"/>
        <w:numPr>
          <w:ilvl w:val="0"/>
          <w:numId w:val="5"/>
        </w:numPr>
        <w:pBdr>
          <w:top w:val="nil"/>
          <w:left w:val="nil"/>
          <w:bottom w:val="nil"/>
          <w:right w:val="nil"/>
          <w:between w:val="nil"/>
        </w:pBdr>
        <w:tabs>
          <w:tab w:val="left" w:pos="1449"/>
        </w:tabs>
        <w:spacing w:after="0" w:line="276" w:lineRule="auto"/>
        <w:ind w:right="7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una captura total anual de 1.311 toneladas, la pesca en el embalse representó un rendimiento de 82 kg/ha/año. Se encontró un número de pescadores que fluctuó entre 4,4 y 6,2 pescadores por km</w:t>
      </w:r>
      <w:r>
        <w:rPr>
          <w:rFonts w:ascii="Arial Narrow" w:eastAsia="Arial Narrow" w:hAnsi="Arial Narrow" w:cs="Arial Narrow"/>
          <w:color w:val="000000"/>
          <w:sz w:val="24"/>
          <w:szCs w:val="24"/>
          <w:vertAlign w:val="superscript"/>
        </w:rPr>
        <w:t>2</w:t>
      </w:r>
      <w:r>
        <w:rPr>
          <w:rFonts w:ascii="Arial Narrow" w:eastAsia="Arial Narrow" w:hAnsi="Arial Narrow" w:cs="Arial Narrow"/>
          <w:color w:val="000000"/>
          <w:sz w:val="24"/>
          <w:szCs w:val="24"/>
        </w:rPr>
        <w:t>, y se determinó un esfuerzo diario promedio de 232 canoas de pesca. Se aplicaron diferentes modelos productivos, encontrándose rendimientos potenciales que fluctuaron entre 95–233 kg/ha/año, lo cual permitió plantear un posible incremento del rendimiento actual; para ello se presentan comparaciones con las pesquerías de las planicies inundables de la cuenca del río Magdalena.</w:t>
      </w:r>
    </w:p>
    <w:p w14:paraId="4A9CAE64" w14:textId="77777777" w:rsidR="000F098B" w:rsidRDefault="00F93E5A">
      <w:pPr>
        <w:widowControl w:val="0"/>
        <w:numPr>
          <w:ilvl w:val="0"/>
          <w:numId w:val="5"/>
        </w:numPr>
        <w:pBdr>
          <w:top w:val="nil"/>
          <w:left w:val="nil"/>
          <w:bottom w:val="nil"/>
          <w:right w:val="nil"/>
          <w:between w:val="nil"/>
        </w:pBdr>
        <w:tabs>
          <w:tab w:val="left" w:pos="1449"/>
        </w:tabs>
        <w:spacing w:before="2" w:after="0" w:line="276" w:lineRule="auto"/>
        <w:ind w:right="73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embalse de 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presenta más altos rendimientos por unidad de esfuerzo que las planicies inundables de la cuenca Magdalénica en general, y la zona del Canal del Dique en particular, aun cuando la densidad del esfuerzo es similar en términos de canoas de pesca por unidad de superficie.</w:t>
      </w:r>
    </w:p>
    <w:p w14:paraId="77DB1EF9" w14:textId="77777777" w:rsidR="000F098B" w:rsidRDefault="00F93E5A">
      <w:pPr>
        <w:widowControl w:val="0"/>
        <w:numPr>
          <w:ilvl w:val="0"/>
          <w:numId w:val="5"/>
        </w:numPr>
        <w:pBdr>
          <w:top w:val="nil"/>
          <w:left w:val="nil"/>
          <w:bottom w:val="nil"/>
          <w:right w:val="nil"/>
          <w:between w:val="nil"/>
        </w:pBdr>
        <w:tabs>
          <w:tab w:val="left" w:pos="1449"/>
        </w:tabs>
        <w:spacing w:after="0" w:line="276" w:lineRule="auto"/>
        <w:ind w:right="73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el fin de alcanzar un óptimo manejo de las pesquerías del embalse, se requiere a corto plazo superar los vacíos de información, unido a un monitoreo constante de las capturas, y de su composición y rendimiento.</w:t>
      </w:r>
    </w:p>
    <w:p w14:paraId="2C401ED5" w14:textId="77777777" w:rsidR="000F098B" w:rsidRDefault="000F098B">
      <w:pPr>
        <w:widowControl w:val="0"/>
        <w:pBdr>
          <w:top w:val="nil"/>
          <w:left w:val="nil"/>
          <w:bottom w:val="nil"/>
          <w:right w:val="nil"/>
          <w:between w:val="nil"/>
        </w:pBdr>
        <w:spacing w:before="2" w:after="0" w:line="276" w:lineRule="auto"/>
        <w:rPr>
          <w:rFonts w:ascii="Arial Narrow" w:eastAsia="Arial Narrow" w:hAnsi="Arial Narrow" w:cs="Arial Narrow"/>
          <w:color w:val="000000"/>
          <w:sz w:val="24"/>
          <w:szCs w:val="24"/>
        </w:rPr>
      </w:pPr>
    </w:p>
    <w:p w14:paraId="32EBAC45" w14:textId="77777777" w:rsidR="000F098B" w:rsidRDefault="00F93E5A">
      <w:pPr>
        <w:widowControl w:val="0"/>
        <w:pBdr>
          <w:top w:val="nil"/>
          <w:left w:val="nil"/>
          <w:bottom w:val="nil"/>
          <w:right w:val="nil"/>
          <w:between w:val="nil"/>
        </w:pBdr>
        <w:spacing w:after="0" w:line="276" w:lineRule="auto"/>
        <w:ind w:right="7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Dentro de las 33 actividades de agricultura que se encuentran en el plan de desarrollo del departamento del departamento para la vigencia 2020-2023 “¡Atlántico para la Gente!”, la pesca fue priorizada al tener un 4,5% de participación dentro de las actividades, la cual también cuenta con sub actividades como pesca deportiva y pesca submarina para el mejoramiento del sector turístico, impactando positivamente los ingresos de la región, todo esto teniendo en cuenta que los cuerpos de agua del Atlántico representan un 6,8% de la superficie del departamento siendo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una principal fuente de agua.</w:t>
      </w:r>
      <w:r>
        <w:rPr>
          <w:rFonts w:ascii="Arial Narrow" w:eastAsia="Arial Narrow" w:hAnsi="Arial Narrow" w:cs="Arial Narrow"/>
          <w:color w:val="000000"/>
          <w:sz w:val="24"/>
          <w:szCs w:val="24"/>
          <w:vertAlign w:val="superscript"/>
        </w:rPr>
        <w:footnoteReference w:id="13"/>
      </w:r>
    </w:p>
    <w:p w14:paraId="163C9335" w14:textId="77777777" w:rsidR="000F098B" w:rsidRDefault="00F93E5A">
      <w:pPr>
        <w:widowControl w:val="0"/>
        <w:pBdr>
          <w:top w:val="nil"/>
          <w:left w:val="nil"/>
          <w:bottom w:val="nil"/>
          <w:right w:val="nil"/>
          <w:between w:val="nil"/>
        </w:pBdr>
        <w:spacing w:before="52"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se han realizado capacitaciones, suministro de 20 atarrayas, y </w:t>
      </w:r>
      <w:r>
        <w:rPr>
          <w:rFonts w:ascii="Arial Narrow" w:eastAsia="Arial Narrow" w:hAnsi="Arial Narrow" w:cs="Arial Narrow"/>
          <w:color w:val="000000"/>
          <w:sz w:val="24"/>
          <w:szCs w:val="24"/>
        </w:rPr>
        <w:lastRenderedPageBreak/>
        <w:t xml:space="preserve">la reparación de 132 canoas beneficiando a 135 pescadores por un valor de $556 millones de pesos inversión con el fin de mejorar la convivencia ciudadana y las condiciones de los pescadores de las poblaciones aledañas al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también se realizó la Siembra de 2’000.000 alevinos de bocachico, A través de la CRA (Corporación Autónoma Regional del Atlántico) con objetivo de activar la pesca artesanal.</w:t>
      </w:r>
      <w:r>
        <w:rPr>
          <w:rFonts w:ascii="Arial Narrow" w:eastAsia="Arial Narrow" w:hAnsi="Arial Narrow" w:cs="Arial Narrow"/>
          <w:color w:val="000000"/>
          <w:sz w:val="24"/>
          <w:szCs w:val="24"/>
          <w:vertAlign w:val="superscript"/>
        </w:rPr>
        <w:footnoteReference w:id="14"/>
      </w:r>
      <w:r>
        <w:rPr>
          <w:rFonts w:ascii="Arial Narrow" w:eastAsia="Arial Narrow" w:hAnsi="Arial Narrow" w:cs="Arial Narrow"/>
          <w:color w:val="000000"/>
          <w:sz w:val="24"/>
          <w:szCs w:val="24"/>
        </w:rPr>
        <w:t xml:space="preserve"> En este año se han venido realizando proyectos de mejoramiento en producción para la pesca en el departamento </w:t>
      </w:r>
      <w:r>
        <w:rPr>
          <w:rFonts w:ascii="Arial Narrow" w:eastAsia="Arial Narrow" w:hAnsi="Arial Narrow" w:cs="Arial Narrow"/>
          <w:i/>
          <w:color w:val="000000"/>
          <w:sz w:val="24"/>
          <w:szCs w:val="24"/>
        </w:rPr>
        <w:t xml:space="preserve">con el “Plan Pescao” donde el embalse del </w:t>
      </w:r>
      <w:proofErr w:type="spellStart"/>
      <w:r>
        <w:rPr>
          <w:rFonts w:ascii="Arial Narrow" w:eastAsia="Arial Narrow" w:hAnsi="Arial Narrow" w:cs="Arial Narrow"/>
          <w:i/>
          <w:color w:val="000000"/>
          <w:sz w:val="24"/>
          <w:szCs w:val="24"/>
        </w:rPr>
        <w:t>Guájaro</w:t>
      </w:r>
      <w:proofErr w:type="spellEnd"/>
      <w:r>
        <w:rPr>
          <w:rFonts w:ascii="Arial Narrow" w:eastAsia="Arial Narrow" w:hAnsi="Arial Narrow" w:cs="Arial Narrow"/>
          <w:i/>
          <w:color w:val="000000"/>
          <w:sz w:val="24"/>
          <w:szCs w:val="24"/>
        </w:rPr>
        <w:t xml:space="preserve"> cuenta con </w:t>
      </w:r>
      <w:r>
        <w:rPr>
          <w:rFonts w:ascii="Arial Narrow" w:eastAsia="Arial Narrow" w:hAnsi="Arial Narrow" w:cs="Arial Narrow"/>
          <w:color w:val="000000"/>
          <w:sz w:val="24"/>
          <w:szCs w:val="24"/>
        </w:rPr>
        <w:t>10 millones de alevinos de lebranche, róbalo y lisas,</w:t>
      </w:r>
      <w:r>
        <w:rPr>
          <w:rFonts w:ascii="Arial Narrow" w:eastAsia="Arial Narrow" w:hAnsi="Arial Narrow" w:cs="Arial Narrow"/>
          <w:color w:val="000000"/>
          <w:sz w:val="24"/>
          <w:szCs w:val="24"/>
          <w:vertAlign w:val="superscript"/>
        </w:rPr>
        <w:footnoteReference w:id="15"/>
      </w:r>
      <w:r>
        <w:rPr>
          <w:rFonts w:ascii="Arial Narrow" w:eastAsia="Arial Narrow" w:hAnsi="Arial Narrow" w:cs="Arial Narrow"/>
          <w:color w:val="000000"/>
          <w:sz w:val="24"/>
          <w:szCs w:val="24"/>
        </w:rPr>
        <w:t xml:space="preserve"> con el fin de promover la seguridad alimentaria de los habitantes de la región.</w:t>
      </w:r>
    </w:p>
    <w:p w14:paraId="2CE81E50" w14:textId="77777777" w:rsidR="000F098B" w:rsidRDefault="000F098B">
      <w:pPr>
        <w:widowControl w:val="0"/>
        <w:pBdr>
          <w:top w:val="nil"/>
          <w:left w:val="nil"/>
          <w:bottom w:val="nil"/>
          <w:right w:val="nil"/>
          <w:between w:val="nil"/>
        </w:pBdr>
        <w:spacing w:before="1" w:after="0" w:line="276" w:lineRule="auto"/>
        <w:rPr>
          <w:rFonts w:ascii="Arial Narrow" w:eastAsia="Arial Narrow" w:hAnsi="Arial Narrow" w:cs="Arial Narrow"/>
          <w:color w:val="000000"/>
          <w:sz w:val="24"/>
          <w:szCs w:val="24"/>
        </w:rPr>
      </w:pPr>
    </w:p>
    <w:p w14:paraId="5FDFB688" w14:textId="77777777" w:rsidR="000F098B" w:rsidRDefault="00F93E5A">
      <w:pPr>
        <w:widowControl w:val="0"/>
        <w:pBdr>
          <w:top w:val="nil"/>
          <w:left w:val="nil"/>
          <w:bottom w:val="nil"/>
          <w:right w:val="nil"/>
          <w:between w:val="nil"/>
        </w:pBdr>
        <w:spacing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otra parte, resultados del estudio realizado en 2013 por el DPS (Departamento de la Prosperidad Social), sobre al Análisis de Vulnerabilidad alimentaria y nutricional se identificó que las áreas agrícolas inundables, tienen mayor riesgo para la disponibilidad de alimentos, donde se consideró que el canal del Dique y en zona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(Manatí, Repelón y Luruaco) se encontraban en riesgo medio (Plan de Desarrollo 2020 – 2023).</w:t>
      </w:r>
    </w:p>
    <w:p w14:paraId="246A6696" w14:textId="77777777" w:rsidR="000F098B" w:rsidRDefault="000F098B">
      <w:pPr>
        <w:widowControl w:val="0"/>
        <w:pBdr>
          <w:top w:val="nil"/>
          <w:left w:val="nil"/>
          <w:bottom w:val="nil"/>
          <w:right w:val="nil"/>
          <w:between w:val="nil"/>
        </w:pBdr>
        <w:spacing w:before="7" w:after="0" w:line="276" w:lineRule="auto"/>
        <w:rPr>
          <w:rFonts w:ascii="Arial Narrow" w:eastAsia="Arial Narrow" w:hAnsi="Arial Narrow" w:cs="Arial Narrow"/>
          <w:color w:val="000000"/>
          <w:sz w:val="24"/>
          <w:szCs w:val="24"/>
        </w:rPr>
      </w:pPr>
    </w:p>
    <w:p w14:paraId="20EE408A" w14:textId="77777777" w:rsidR="000F098B" w:rsidRDefault="00F93E5A">
      <w:pPr>
        <w:widowControl w:val="0"/>
        <w:pBdr>
          <w:top w:val="nil"/>
          <w:left w:val="nil"/>
          <w:bottom w:val="nil"/>
          <w:right w:val="nil"/>
          <w:between w:val="nil"/>
        </w:pBdr>
        <w:spacing w:before="1"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consignó en dicho documento lo siguiente:</w:t>
      </w:r>
    </w:p>
    <w:p w14:paraId="6F2EC2E0" w14:textId="77777777" w:rsidR="000F098B" w:rsidRDefault="000F098B">
      <w:pPr>
        <w:widowControl w:val="0"/>
        <w:pBdr>
          <w:top w:val="nil"/>
          <w:left w:val="nil"/>
          <w:bottom w:val="nil"/>
          <w:right w:val="nil"/>
          <w:between w:val="nil"/>
        </w:pBdr>
        <w:spacing w:before="1" w:after="0" w:line="276" w:lineRule="auto"/>
        <w:jc w:val="both"/>
        <w:rPr>
          <w:rFonts w:ascii="Arial Narrow" w:eastAsia="Arial Narrow" w:hAnsi="Arial Narrow" w:cs="Arial Narrow"/>
          <w:color w:val="000000"/>
          <w:sz w:val="24"/>
          <w:szCs w:val="24"/>
        </w:rPr>
      </w:pPr>
    </w:p>
    <w:p w14:paraId="6FF6F5EC" w14:textId="77777777" w:rsidR="000F098B" w:rsidRDefault="00F93E5A">
      <w:pPr>
        <w:spacing w:before="43" w:line="276" w:lineRule="auto"/>
        <w:ind w:left="567" w:right="1360"/>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“Plan Pescao” también se busca garantizar la seguridad alimentaria de las poblaciones aledañas al Embalse del </w:t>
      </w:r>
      <w:proofErr w:type="spellStart"/>
      <w:r>
        <w:rPr>
          <w:rFonts w:ascii="Arial Narrow" w:eastAsia="Arial Narrow" w:hAnsi="Arial Narrow" w:cs="Arial Narrow"/>
          <w:i/>
          <w:sz w:val="24"/>
          <w:szCs w:val="24"/>
        </w:rPr>
        <w:t>Guájaro</w:t>
      </w:r>
      <w:proofErr w:type="spellEnd"/>
      <w:r>
        <w:rPr>
          <w:rFonts w:ascii="Arial Narrow" w:eastAsia="Arial Narrow" w:hAnsi="Arial Narrow" w:cs="Arial Narrow"/>
          <w:i/>
          <w:sz w:val="24"/>
          <w:szCs w:val="24"/>
        </w:rPr>
        <w:t xml:space="preserve"> que se derivan del sustento de la pesca y su comercialización.</w:t>
      </w:r>
      <w:r>
        <w:rPr>
          <w:rFonts w:ascii="Arial Narrow" w:eastAsia="Arial Narrow" w:hAnsi="Arial Narrow" w:cs="Arial Narrow"/>
          <w:i/>
          <w:sz w:val="24"/>
          <w:szCs w:val="24"/>
          <w:vertAlign w:val="superscript"/>
        </w:rPr>
        <w:footnoteReference w:id="16"/>
      </w:r>
    </w:p>
    <w:p w14:paraId="704543F6" w14:textId="77777777" w:rsidR="000F098B" w:rsidRDefault="00F93E5A">
      <w:pPr>
        <w:spacing w:before="52" w:line="276" w:lineRule="auto"/>
        <w:ind w:left="567" w:right="1353"/>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Es importante resaltar el esfuerzo mancomunado que se encuentra realizando la actual administración del departamento del Atlántico con respecto a la recuperación, desarrollo y productividad del Embalse del </w:t>
      </w:r>
      <w:proofErr w:type="spellStart"/>
      <w:r>
        <w:rPr>
          <w:rFonts w:ascii="Arial Narrow" w:eastAsia="Arial Narrow" w:hAnsi="Arial Narrow" w:cs="Arial Narrow"/>
          <w:i/>
          <w:sz w:val="24"/>
          <w:szCs w:val="24"/>
        </w:rPr>
        <w:t>Guájaro</w:t>
      </w:r>
      <w:proofErr w:type="spellEnd"/>
      <w:r>
        <w:rPr>
          <w:rFonts w:ascii="Arial Narrow" w:eastAsia="Arial Narrow" w:hAnsi="Arial Narrow" w:cs="Arial Narrow"/>
          <w:i/>
          <w:sz w:val="24"/>
          <w:szCs w:val="24"/>
        </w:rPr>
        <w:t xml:space="preserve">. De acuerdo a lo expuesto en su plan de desarrollo, se logra identificar la intencionalidad que tiene el departamento para la recuperación y mantenimiento de los cuerpos de </w:t>
      </w:r>
      <w:r>
        <w:rPr>
          <w:rFonts w:ascii="Arial Narrow" w:eastAsia="Arial Narrow" w:hAnsi="Arial Narrow" w:cs="Arial Narrow"/>
          <w:i/>
          <w:sz w:val="24"/>
          <w:szCs w:val="24"/>
        </w:rPr>
        <w:lastRenderedPageBreak/>
        <w:t xml:space="preserve">agua que brindan oportunidad para la pesca y a su vez para </w:t>
      </w:r>
      <w:proofErr w:type="gramStart"/>
      <w:r>
        <w:rPr>
          <w:rFonts w:ascii="Arial Narrow" w:eastAsia="Arial Narrow" w:hAnsi="Arial Narrow" w:cs="Arial Narrow"/>
          <w:i/>
          <w:sz w:val="24"/>
          <w:szCs w:val="24"/>
        </w:rPr>
        <w:t>la el</w:t>
      </w:r>
      <w:proofErr w:type="gramEnd"/>
      <w:r>
        <w:rPr>
          <w:rFonts w:ascii="Arial Narrow" w:eastAsia="Arial Narrow" w:hAnsi="Arial Narrow" w:cs="Arial Narrow"/>
          <w:i/>
          <w:sz w:val="24"/>
          <w:szCs w:val="24"/>
        </w:rPr>
        <w:t xml:space="preserve"> turismo de la región. Otro punto importante para resaltar, es la evaluación del impacto ambiental sobre el embalse que ha logrado visualizar la administración del departamento, en donde buscan mitigarlo mediante la dotación de infraestructura de alcantarillado sanitario y sistemas de tratamientos de aguas residuales que “</w:t>
      </w:r>
      <w:r>
        <w:rPr>
          <w:rFonts w:ascii="Arial Narrow" w:eastAsia="Arial Narrow" w:hAnsi="Arial Narrow" w:cs="Arial Narrow"/>
          <w:sz w:val="24"/>
          <w:szCs w:val="24"/>
        </w:rPr>
        <w:t xml:space="preserve">Para el caso específico del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se trabajará en los corregimientos de La Peña y Aguada de Pablo del municipio de Sabanalarga y en los corregimientos de </w:t>
      </w:r>
      <w:proofErr w:type="spellStart"/>
      <w:r>
        <w:rPr>
          <w:rFonts w:ascii="Arial Narrow" w:eastAsia="Arial Narrow" w:hAnsi="Arial Narrow" w:cs="Arial Narrow"/>
          <w:sz w:val="24"/>
          <w:szCs w:val="24"/>
        </w:rPr>
        <w:t>Rotinet</w:t>
      </w:r>
      <w:proofErr w:type="spellEnd"/>
      <w:r>
        <w:rPr>
          <w:rFonts w:ascii="Arial Narrow" w:eastAsia="Arial Narrow" w:hAnsi="Arial Narrow" w:cs="Arial Narrow"/>
          <w:sz w:val="24"/>
          <w:szCs w:val="24"/>
        </w:rPr>
        <w:t xml:space="preserve"> y Villa Rosa del municipio de Repelón, obras que aportarán a la recuperación de este cuerpo de agua.</w:t>
      </w:r>
      <w:r>
        <w:rPr>
          <w:rFonts w:ascii="Arial Narrow" w:eastAsia="Arial Narrow" w:hAnsi="Arial Narrow" w:cs="Arial Narrow"/>
          <w:i/>
          <w:sz w:val="24"/>
          <w:szCs w:val="24"/>
        </w:rPr>
        <w:t xml:space="preserve">” </w:t>
      </w:r>
      <w:r>
        <w:rPr>
          <w:rFonts w:ascii="Arial Narrow" w:eastAsia="Arial Narrow" w:hAnsi="Arial Narrow" w:cs="Arial Narrow"/>
          <w:i/>
          <w:sz w:val="24"/>
          <w:szCs w:val="24"/>
          <w:vertAlign w:val="superscript"/>
        </w:rPr>
        <w:footnoteReference w:id="17"/>
      </w:r>
      <w:r>
        <w:rPr>
          <w:rFonts w:ascii="Arial Narrow" w:eastAsia="Arial Narrow" w:hAnsi="Arial Narrow" w:cs="Arial Narrow"/>
          <w:sz w:val="24"/>
          <w:szCs w:val="24"/>
        </w:rPr>
        <w:t xml:space="preserve"> </w:t>
      </w:r>
      <w:r>
        <w:rPr>
          <w:rFonts w:ascii="Arial Narrow" w:eastAsia="Arial Narrow" w:hAnsi="Arial Narrow" w:cs="Arial Narrow"/>
          <w:i/>
          <w:sz w:val="24"/>
          <w:szCs w:val="24"/>
        </w:rPr>
        <w:t>Resaltando la importancia ejecutar una recuperación ambiental del embalse de la mano de actividades productivas sostenibles que permitan su aprovechamiento turístico, ecológico y económico.</w:t>
      </w:r>
    </w:p>
    <w:p w14:paraId="2C4D1D7E" w14:textId="77777777" w:rsidR="000F098B" w:rsidRDefault="00F93E5A">
      <w:pPr>
        <w:widowControl w:val="0"/>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Finalmente es importante mencionar que este proyecto de ley está en concordancia con los objetivos del sector de acuicultura y pesca en el departamento según el plan de desarrollo y también con los objetivos del sector en Colombia que son los siguientes:</w:t>
      </w:r>
      <w:r>
        <w:rPr>
          <w:rFonts w:ascii="Arial Narrow" w:eastAsia="Arial Narrow" w:hAnsi="Arial Narrow" w:cs="Arial Narrow"/>
          <w:color w:val="000000"/>
          <w:sz w:val="24"/>
          <w:szCs w:val="24"/>
          <w:vertAlign w:val="superscript"/>
        </w:rPr>
        <w:footnoteReference w:id="18"/>
      </w:r>
    </w:p>
    <w:p w14:paraId="25713E9F" w14:textId="77777777" w:rsidR="000F098B" w:rsidRDefault="000F098B">
      <w:pPr>
        <w:widowControl w:val="0"/>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p>
    <w:p w14:paraId="047C170F"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Mejora de la productividad y la competitividad.</w:t>
      </w:r>
    </w:p>
    <w:p w14:paraId="278D3DE4"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Diversificación de la acuicultura con nuevas especies.</w:t>
      </w:r>
    </w:p>
    <w:p w14:paraId="708C2A71"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Modernización de los sistemas de producción.</w:t>
      </w:r>
    </w:p>
    <w:p w14:paraId="4C45305B"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Formalización de los acuicultores y fortalecimiento gremial y/o asociativo.</w:t>
      </w:r>
    </w:p>
    <w:p w14:paraId="155CDDEA"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de la acuicultura en cuerpos de agua natural y artificial (embalses, lagos y lagunas).</w:t>
      </w:r>
    </w:p>
    <w:p w14:paraId="26BA1F18"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de la agenda de investigación en acuicultura.</w:t>
      </w:r>
    </w:p>
    <w:p w14:paraId="4D47A154"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Articulación interinstitucional para la implementación de buenas prácticas– BPPA.</w:t>
      </w:r>
    </w:p>
    <w:p w14:paraId="5004E38A"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Sostenibilidad ambiental y desarrollo social.</w:t>
      </w:r>
    </w:p>
    <w:p w14:paraId="6699FEAC"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Ampliar oferta de crédito y financiamiento.</w:t>
      </w:r>
    </w:p>
    <w:p w14:paraId="3CCBE8A6"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Estructuración del Proyecto de Ley del Fondo Nacional de la Piscicultura para su fomento.</w:t>
      </w:r>
    </w:p>
    <w:p w14:paraId="75A8EBD0" w14:textId="77777777" w:rsidR="000F098B" w:rsidRDefault="00F93E5A">
      <w:pPr>
        <w:widowControl w:val="0"/>
        <w:numPr>
          <w:ilvl w:val="0"/>
          <w:numId w:val="1"/>
        </w:numPr>
        <w:pBdr>
          <w:top w:val="nil"/>
          <w:left w:val="nil"/>
          <w:bottom w:val="nil"/>
          <w:right w:val="nil"/>
          <w:between w:val="nil"/>
        </w:pBdr>
        <w:spacing w:before="1"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Empleo: Aumentó del 8% en generación de empleos directos en la acuicultura.</w:t>
      </w:r>
    </w:p>
    <w:p w14:paraId="6C6B7DA6" w14:textId="77777777" w:rsidR="000F098B" w:rsidRDefault="000F098B">
      <w:pPr>
        <w:widowControl w:val="0"/>
        <w:pBdr>
          <w:top w:val="nil"/>
          <w:left w:val="nil"/>
          <w:bottom w:val="nil"/>
          <w:right w:val="nil"/>
          <w:between w:val="nil"/>
        </w:pBdr>
        <w:spacing w:before="1" w:after="0" w:line="276" w:lineRule="auto"/>
        <w:ind w:left="1065" w:right="731"/>
        <w:jc w:val="both"/>
        <w:rPr>
          <w:rFonts w:ascii="Arial Narrow" w:eastAsia="Arial Narrow" w:hAnsi="Arial Narrow" w:cs="Arial Narrow"/>
          <w:color w:val="000000"/>
          <w:sz w:val="24"/>
          <w:szCs w:val="24"/>
        </w:rPr>
      </w:pPr>
    </w:p>
    <w:p w14:paraId="72C04981" w14:textId="77777777" w:rsidR="000F098B" w:rsidRDefault="000F098B">
      <w:pPr>
        <w:widowControl w:val="0"/>
        <w:pBdr>
          <w:top w:val="nil"/>
          <w:left w:val="nil"/>
          <w:bottom w:val="nil"/>
          <w:right w:val="nil"/>
          <w:between w:val="nil"/>
        </w:pBdr>
        <w:spacing w:before="1" w:after="0" w:line="276" w:lineRule="auto"/>
        <w:ind w:left="1065" w:right="731"/>
        <w:jc w:val="both"/>
        <w:rPr>
          <w:rFonts w:ascii="Arial Narrow" w:eastAsia="Arial Narrow" w:hAnsi="Arial Narrow" w:cs="Arial Narrow"/>
          <w:color w:val="000000"/>
          <w:sz w:val="24"/>
          <w:szCs w:val="24"/>
        </w:rPr>
      </w:pPr>
    </w:p>
    <w:p w14:paraId="55D0D1F9" w14:textId="77777777" w:rsidR="000F098B" w:rsidRDefault="000F098B">
      <w:pPr>
        <w:widowControl w:val="0"/>
        <w:pBdr>
          <w:top w:val="nil"/>
          <w:left w:val="nil"/>
          <w:bottom w:val="nil"/>
          <w:right w:val="nil"/>
          <w:between w:val="nil"/>
        </w:pBdr>
        <w:spacing w:before="1" w:after="0" w:line="276" w:lineRule="auto"/>
        <w:ind w:left="1065" w:right="731"/>
        <w:jc w:val="both"/>
        <w:rPr>
          <w:rFonts w:ascii="Arial Narrow" w:eastAsia="Arial Narrow" w:hAnsi="Arial Narrow" w:cs="Arial Narrow"/>
          <w:color w:val="000000"/>
          <w:sz w:val="24"/>
          <w:szCs w:val="24"/>
        </w:rPr>
      </w:pPr>
    </w:p>
    <w:p w14:paraId="47141DE4" w14:textId="77777777" w:rsidR="000F098B" w:rsidRDefault="00F93E5A">
      <w:pPr>
        <w:pStyle w:val="Ttulo2"/>
        <w:tabs>
          <w:tab w:val="left" w:pos="1242"/>
        </w:tabs>
        <w:spacing w:before="52" w:line="276" w:lineRule="auto"/>
        <w:ind w:left="0"/>
        <w:rPr>
          <w:rFonts w:ascii="Arial Narrow" w:eastAsia="Arial Narrow" w:hAnsi="Arial Narrow" w:cs="Arial Narrow"/>
        </w:rPr>
      </w:pPr>
      <w:r>
        <w:rPr>
          <w:rFonts w:ascii="Arial Narrow" w:eastAsia="Arial Narrow" w:hAnsi="Arial Narrow" w:cs="Arial Narrow"/>
        </w:rPr>
        <w:t>2.2 Socialización del Proyecto de Ley</w:t>
      </w:r>
    </w:p>
    <w:p w14:paraId="69CB84E6" w14:textId="77777777" w:rsidR="000F098B" w:rsidRDefault="00F93E5A">
      <w:pPr>
        <w:widowControl w:val="0"/>
        <w:pBdr>
          <w:top w:val="nil"/>
          <w:left w:val="nil"/>
          <w:bottom w:val="nil"/>
          <w:right w:val="nil"/>
          <w:between w:val="nil"/>
        </w:pBdr>
        <w:spacing w:before="182"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presente proyecto de ley busca la socialización de distintos actores sectoriales y gubernamentales que apoyen la discusión y construcción de la presente iniciativa. El día 13 de noviembre del año 2020, se adelantó, en el curso del trámite legislativo del proyecto de Ley 346 de 2020 en Senado, la primera mesa de trabajo técnica con los Ministerios que se relacionan en el articulado del presente proyecto de ley. En primer lugar, se adelantó reunión con la Dirección de Calidad y Desarrollo Sostenible del Ministerio de Comercio, Industria y Turismo, a su vez con técnicos encargados de la Dirección de Bosques, Biodiversidad y Servicios </w:t>
      </w:r>
      <w:r>
        <w:rPr>
          <w:rFonts w:ascii="Arial Narrow" w:eastAsia="Arial Narrow" w:hAnsi="Arial Narrow" w:cs="Arial Narrow"/>
          <w:sz w:val="24"/>
          <w:szCs w:val="24"/>
        </w:rPr>
        <w:t>Ecosistémicos</w:t>
      </w:r>
      <w:r>
        <w:rPr>
          <w:rFonts w:ascii="Arial Narrow" w:eastAsia="Arial Narrow" w:hAnsi="Arial Narrow" w:cs="Arial Narrow"/>
          <w:color w:val="000000"/>
          <w:sz w:val="24"/>
          <w:szCs w:val="24"/>
        </w:rPr>
        <w:t>, igualmente con la Coordinación pesquera y acuícola del Ministerio de Agricultura.</w:t>
      </w:r>
    </w:p>
    <w:p w14:paraId="3FB659ED" w14:textId="77777777" w:rsidR="000F098B" w:rsidRDefault="00F93E5A">
      <w:pPr>
        <w:widowControl w:val="0"/>
        <w:pBdr>
          <w:top w:val="nil"/>
          <w:left w:val="nil"/>
          <w:bottom w:val="nil"/>
          <w:right w:val="nil"/>
          <w:between w:val="nil"/>
        </w:pBdr>
        <w:spacing w:before="182"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Durante el proceso de estudio del Proyecto de Ley No. 639 de 2021 Cámara, 346 de 2020 Senado: socializamos con las Entidades competentes, esto es, Ministerio de Ambiente y Desarrollo Sostenible, Ministerio de Agricultura y Desarrollo Rural, Ministerio de Comercio, Industria y Turismo, Ministerio de Hacienda y Autoridad </w:t>
      </w:r>
    </w:p>
    <w:p w14:paraId="51A4A1ED" w14:textId="77777777" w:rsidR="000F098B" w:rsidRDefault="00F93E5A">
      <w:pPr>
        <w:widowControl w:val="0"/>
        <w:pBdr>
          <w:top w:val="nil"/>
          <w:left w:val="nil"/>
          <w:bottom w:val="nil"/>
          <w:right w:val="nil"/>
          <w:between w:val="nil"/>
        </w:pBdr>
        <w:spacing w:before="182"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Nacional de Acuicultura y Pesca, quienes conceptuaron al respecto y sugirieron una serie de recomendaciones y sugerencias las cuales fueron estudiadas y consideradas por los ponentes.</w:t>
      </w:r>
    </w:p>
    <w:p w14:paraId="33E4F038" w14:textId="77777777" w:rsidR="000F098B" w:rsidRDefault="000F098B">
      <w:pPr>
        <w:widowControl w:val="0"/>
        <w:pBdr>
          <w:top w:val="nil"/>
          <w:left w:val="nil"/>
          <w:bottom w:val="nil"/>
          <w:right w:val="nil"/>
          <w:between w:val="nil"/>
        </w:pBdr>
        <w:spacing w:before="2" w:after="0" w:line="276" w:lineRule="auto"/>
        <w:rPr>
          <w:rFonts w:ascii="Arial Narrow" w:eastAsia="Arial Narrow" w:hAnsi="Arial Narrow" w:cs="Arial Narrow"/>
          <w:color w:val="000000"/>
          <w:sz w:val="24"/>
          <w:szCs w:val="24"/>
        </w:rPr>
      </w:pPr>
    </w:p>
    <w:p w14:paraId="70E05621" w14:textId="77777777" w:rsidR="000F098B" w:rsidRDefault="00F93E5A">
      <w:pPr>
        <w:pStyle w:val="Ttulo2"/>
        <w:numPr>
          <w:ilvl w:val="0"/>
          <w:numId w:val="3"/>
        </w:numPr>
        <w:tabs>
          <w:tab w:val="left" w:pos="1166"/>
        </w:tabs>
        <w:spacing w:line="276" w:lineRule="auto"/>
        <w:ind w:left="284"/>
        <w:rPr>
          <w:rFonts w:ascii="Arial Narrow" w:eastAsia="Arial Narrow" w:hAnsi="Arial Narrow" w:cs="Arial Narrow"/>
        </w:rPr>
      </w:pPr>
      <w:r>
        <w:rPr>
          <w:rFonts w:ascii="Arial Narrow" w:eastAsia="Arial Narrow" w:hAnsi="Arial Narrow" w:cs="Arial Narrow"/>
        </w:rPr>
        <w:t>FUNDAMENTO JURÍDICO</w:t>
      </w:r>
    </w:p>
    <w:p w14:paraId="69551C42" w14:textId="77777777" w:rsidR="000F098B" w:rsidRDefault="00F93E5A">
      <w:pPr>
        <w:widowControl w:val="0"/>
        <w:pBdr>
          <w:top w:val="nil"/>
          <w:left w:val="nil"/>
          <w:bottom w:val="nil"/>
          <w:right w:val="nil"/>
          <w:between w:val="nil"/>
        </w:pBdr>
        <w:spacing w:before="204" w:after="0" w:line="276" w:lineRule="auto"/>
        <w:ind w:right="7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Congreso de la República en ejercicio de sus facultades constitucionales y legales, en especial, las conferidas en el artículo 150 de la Constitución Política de Colombia, busca establecer por medio de esta Ley proteger y fomentar el desarrollo social y económico y cultural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declarándola zona de interés turístico y ecológico; concomitante esto con la ley 300 de 1996 por la cual se expide la ley general de turismo la cual en su artículo primero modificado por el art. 2, Ley 1558 de 2012</w:t>
      </w:r>
      <w:r>
        <w:rPr>
          <w:rFonts w:ascii="Arial Narrow" w:eastAsia="Arial Narrow" w:hAnsi="Arial Narrow" w:cs="Arial Narrow"/>
          <w:color w:val="000000"/>
          <w:sz w:val="24"/>
          <w:szCs w:val="24"/>
          <w:vertAlign w:val="superscript"/>
        </w:rPr>
        <w:footnoteReference w:id="19"/>
      </w:r>
      <w:r>
        <w:rPr>
          <w:rFonts w:ascii="Arial Narrow" w:eastAsia="Arial Narrow" w:hAnsi="Arial Narrow" w:cs="Arial Narrow"/>
          <w:color w:val="000000"/>
          <w:sz w:val="24"/>
          <w:szCs w:val="24"/>
        </w:rPr>
        <w:t>, destaca la Importancia de la industria turística</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Indicándonos categóricamente que el turismo es una industria </w:t>
      </w:r>
      <w:r>
        <w:rPr>
          <w:rFonts w:ascii="Arial Narrow" w:eastAsia="Arial Narrow" w:hAnsi="Arial Narrow" w:cs="Arial Narrow"/>
          <w:color w:val="000000"/>
          <w:sz w:val="24"/>
          <w:szCs w:val="24"/>
        </w:rPr>
        <w:lastRenderedPageBreak/>
        <w:t>esencial para el desarrollo del país y en especial de las diferentes entidades territoriales, regiones, provincias y que cumple una función social y por tal razón el Estado le dará especial protección en razón de su importancia para el desarrollo nacional.</w:t>
      </w:r>
    </w:p>
    <w:p w14:paraId="0129FBF4" w14:textId="77777777" w:rsidR="000F098B" w:rsidRDefault="000F098B">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p>
    <w:p w14:paraId="42B3694D" w14:textId="77777777" w:rsidR="000F098B" w:rsidRDefault="00F93E5A">
      <w:pPr>
        <w:widowControl w:val="0"/>
        <w:pBdr>
          <w:top w:val="nil"/>
          <w:left w:val="nil"/>
          <w:bottom w:val="nil"/>
          <w:right w:val="nil"/>
          <w:between w:val="nil"/>
        </w:pBdr>
        <w:spacing w:before="71" w:after="0" w:line="276" w:lineRule="auto"/>
        <w:ind w:right="7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otra parte, en coordinación interinstitucional en materia agraria se destaca la importancia de la acuicultura en esta zona, la cual se ha se ha desarrollado principalmente a nivel rural y como complemento a las actividades de la agricultura. La Ley N º 13 de 1990 Estatuto General de Pesca y su Decreto reglamentario N º 2256 de 1991, constituyen el principal marco normativo de mencionada actividad en nuestro país bajo la autoridad central del Ministerio de Agricultura y Desarrollo Rural (MADR) para la administración y manejo de las pesquerías, como lo confirma el Decreto N º 1985 de 2013, art. 1, inciso segundo. Dicha administración está en cabeza de La Autoridad Nacional de Acuicultura y Pesca – AUNAP</w:t>
      </w:r>
      <w:r>
        <w:rPr>
          <w:rFonts w:ascii="Arial Narrow" w:eastAsia="Arial Narrow" w:hAnsi="Arial Narrow" w:cs="Arial Narrow"/>
          <w:color w:val="000000"/>
          <w:sz w:val="24"/>
          <w:szCs w:val="24"/>
          <w:vertAlign w:val="superscript"/>
        </w:rPr>
        <w:footnoteReference w:id="20"/>
      </w:r>
      <w:r>
        <w:rPr>
          <w:rFonts w:ascii="Arial Narrow" w:eastAsia="Arial Narrow" w:hAnsi="Arial Narrow" w:cs="Arial Narrow"/>
          <w:color w:val="000000"/>
          <w:sz w:val="24"/>
          <w:szCs w:val="24"/>
        </w:rPr>
        <w:t xml:space="preserve"> que fue creada mediante decreto 4181 del 3 de noviembre de 2011 por mencionado ministerio, y el cual su principal objetivo misional es el aprovechamiento eficiente y sostenible de los recursos pesqueros y el desarrollo de la acuicultura en el territorio nacional, con el propósito de contribuir a la seguridad alimentaria y nutricional del país, así como a su desarrollo económico y social, afín esto con el objetivo principal del presente proyecto de ley.</w:t>
      </w:r>
    </w:p>
    <w:p w14:paraId="77DB8883" w14:textId="77777777" w:rsidR="000F098B" w:rsidRDefault="000F098B">
      <w:pPr>
        <w:widowControl w:val="0"/>
        <w:pBdr>
          <w:top w:val="nil"/>
          <w:left w:val="nil"/>
          <w:bottom w:val="nil"/>
          <w:right w:val="nil"/>
          <w:between w:val="nil"/>
        </w:pBdr>
        <w:spacing w:before="71" w:after="0" w:line="276" w:lineRule="auto"/>
        <w:ind w:right="735"/>
        <w:jc w:val="both"/>
        <w:rPr>
          <w:rFonts w:ascii="Arial Narrow" w:eastAsia="Arial Narrow" w:hAnsi="Arial Narrow" w:cs="Arial Narrow"/>
          <w:color w:val="000000"/>
          <w:sz w:val="24"/>
          <w:szCs w:val="24"/>
        </w:rPr>
      </w:pPr>
    </w:p>
    <w:p w14:paraId="3C10F137" w14:textId="77777777" w:rsidR="000F098B" w:rsidRDefault="00F93E5A">
      <w:pPr>
        <w:widowControl w:val="0"/>
        <w:pBdr>
          <w:top w:val="nil"/>
          <w:left w:val="nil"/>
          <w:bottom w:val="nil"/>
          <w:right w:val="nil"/>
          <w:between w:val="nil"/>
        </w:pBdr>
        <w:spacing w:after="0" w:line="276" w:lineRule="auto"/>
        <w:ind w:right="73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También integrado a este proyecto de ley y concerniente directamente al tema ambiental y turístico encontramos en el decreto único reglamentario del sector ambiente y desarrollo sostenible 1076 de 2015 el cual compila y modifica varios artículos del decreto 1541 DE 1978. Con relación al tema que nos ocupa el presente proyecto de ley, el decreto nos indica en su Artículo 2.2.3.2.12.2. </w:t>
      </w:r>
      <w:r>
        <w:rPr>
          <w:rFonts w:ascii="Arial Narrow" w:eastAsia="Arial Narrow" w:hAnsi="Arial Narrow" w:cs="Arial Narrow"/>
          <w:b/>
          <w:color w:val="000000"/>
          <w:sz w:val="24"/>
          <w:szCs w:val="24"/>
        </w:rPr>
        <w:t xml:space="preserve">Servicios de turismo, recreación o deporte, </w:t>
      </w:r>
      <w:r>
        <w:rPr>
          <w:rFonts w:ascii="Arial Narrow" w:eastAsia="Arial Narrow" w:hAnsi="Arial Narrow" w:cs="Arial Narrow"/>
          <w:color w:val="000000"/>
          <w:sz w:val="24"/>
          <w:szCs w:val="24"/>
        </w:rPr>
        <w:t xml:space="preserve">que el establecimiento de servicios de turismo, recreación o deporte en corrientes, lagos y </w:t>
      </w:r>
      <w:r>
        <w:rPr>
          <w:rFonts w:ascii="Arial Narrow" w:eastAsia="Arial Narrow" w:hAnsi="Arial Narrow" w:cs="Arial Narrow"/>
          <w:b/>
          <w:color w:val="000000"/>
          <w:sz w:val="24"/>
          <w:szCs w:val="24"/>
          <w:u w:val="single"/>
        </w:rPr>
        <w:t>demás</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depósitos de aguas del dominio público</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requieren concesión</w:t>
      </w:r>
      <w:r>
        <w:rPr>
          <w:rFonts w:ascii="Arial Narrow" w:eastAsia="Arial Narrow" w:hAnsi="Arial Narrow" w:cs="Arial Narrow"/>
          <w:color w:val="000000"/>
          <w:sz w:val="24"/>
          <w:szCs w:val="24"/>
          <w:vertAlign w:val="superscript"/>
        </w:rPr>
        <w:t xml:space="preserve"> </w:t>
      </w:r>
      <w:r>
        <w:rPr>
          <w:rFonts w:ascii="Arial Narrow" w:eastAsia="Arial Narrow" w:hAnsi="Arial Narrow" w:cs="Arial Narrow"/>
          <w:color w:val="000000"/>
          <w:sz w:val="24"/>
          <w:szCs w:val="24"/>
          <w:vertAlign w:val="superscript"/>
        </w:rPr>
        <w:footnoteReference w:id="21"/>
      </w:r>
      <w:r>
        <w:rPr>
          <w:rFonts w:ascii="Arial Narrow" w:eastAsia="Arial Narrow" w:hAnsi="Arial Narrow" w:cs="Arial Narrow"/>
          <w:color w:val="000000"/>
          <w:sz w:val="24"/>
          <w:szCs w:val="24"/>
        </w:rPr>
        <w:t xml:space="preserve"> o asociación en los términos que establezca la autoridad ambiental competente. Así las cosas, se logra la participación integral </w:t>
      </w:r>
      <w:r>
        <w:rPr>
          <w:rFonts w:ascii="Arial Narrow" w:eastAsia="Arial Narrow" w:hAnsi="Arial Narrow" w:cs="Arial Narrow"/>
          <w:color w:val="000000"/>
          <w:sz w:val="24"/>
          <w:szCs w:val="24"/>
        </w:rPr>
        <w:lastRenderedPageBreak/>
        <w:t>de las autoridades que desarrollan este tema y tiene pleno conocimiento acerca del mismo, pertenecientes a los municipios colindantes con mencionado embalse.</w:t>
      </w:r>
    </w:p>
    <w:p w14:paraId="7102ACE9" w14:textId="77777777" w:rsidR="000F098B" w:rsidRDefault="000F098B">
      <w:pPr>
        <w:widowControl w:val="0"/>
        <w:pBdr>
          <w:top w:val="nil"/>
          <w:left w:val="nil"/>
          <w:bottom w:val="nil"/>
          <w:right w:val="nil"/>
          <w:between w:val="nil"/>
        </w:pBdr>
        <w:spacing w:before="7" w:after="0" w:line="276" w:lineRule="auto"/>
        <w:rPr>
          <w:rFonts w:ascii="Arial Narrow" w:eastAsia="Arial Narrow" w:hAnsi="Arial Narrow" w:cs="Arial Narrow"/>
          <w:color w:val="000000"/>
          <w:sz w:val="24"/>
          <w:szCs w:val="24"/>
        </w:rPr>
      </w:pPr>
    </w:p>
    <w:p w14:paraId="0EB04FFF" w14:textId="77777777" w:rsidR="000F098B" w:rsidRDefault="00F93E5A">
      <w:pPr>
        <w:widowControl w:val="0"/>
        <w:pBdr>
          <w:top w:val="nil"/>
          <w:left w:val="nil"/>
          <w:bottom w:val="nil"/>
          <w:right w:val="nil"/>
          <w:between w:val="nil"/>
        </w:pBdr>
        <w:spacing w:after="0" w:line="276" w:lineRule="auto"/>
        <w:ind w:right="7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pues, también encontramos que conforme a lo establecido en el Decreto 229 de 2017</w:t>
      </w:r>
      <w:r>
        <w:rPr>
          <w:rFonts w:ascii="Arial Narrow" w:eastAsia="Arial Narrow" w:hAnsi="Arial Narrow" w:cs="Arial Narrow"/>
          <w:color w:val="000000"/>
          <w:sz w:val="24"/>
          <w:szCs w:val="24"/>
          <w:vertAlign w:val="superscript"/>
        </w:rPr>
        <w:footnoteReference w:id="22"/>
      </w:r>
      <w:r>
        <w:rPr>
          <w:rFonts w:ascii="Arial Narrow" w:eastAsia="Arial Narrow" w:hAnsi="Arial Narrow" w:cs="Arial Narrow"/>
          <w:color w:val="000000"/>
          <w:sz w:val="24"/>
          <w:szCs w:val="24"/>
        </w:rPr>
        <w:t>, mencionada zona, automáticamente deberán inscribirse en el Registro Nacional de Turismo, de igual manera los prestadores de servicios turísticos enumerados en el artículo 2.2.4.1.1.12 y así de esta manera de forma inmediata poder acceder a incentivos establecidos en la ley 1101 DE 2006 por la cual se modifica la Ley 300 de 1996 -Ley General de Turismo y se dictan otras disposiciones la cual indica:</w:t>
      </w:r>
    </w:p>
    <w:p w14:paraId="1CF9AC1A" w14:textId="77777777" w:rsidR="000F098B" w:rsidRDefault="000F098B">
      <w:pPr>
        <w:widowControl w:val="0"/>
        <w:pBdr>
          <w:top w:val="nil"/>
          <w:left w:val="nil"/>
          <w:bottom w:val="nil"/>
          <w:right w:val="nil"/>
          <w:between w:val="nil"/>
        </w:pBdr>
        <w:spacing w:before="71" w:after="0" w:line="276" w:lineRule="auto"/>
        <w:ind w:left="882" w:right="735"/>
        <w:jc w:val="both"/>
        <w:rPr>
          <w:rFonts w:ascii="Arial Narrow" w:eastAsia="Arial Narrow" w:hAnsi="Arial Narrow" w:cs="Arial Narrow"/>
          <w:color w:val="000000"/>
          <w:sz w:val="24"/>
          <w:szCs w:val="24"/>
        </w:rPr>
      </w:pPr>
    </w:p>
    <w:p w14:paraId="314C1958" w14:textId="77777777" w:rsidR="000F098B" w:rsidRDefault="00F93E5A">
      <w:pPr>
        <w:widowControl w:val="0"/>
        <w:pBdr>
          <w:top w:val="nil"/>
          <w:left w:val="nil"/>
          <w:bottom w:val="nil"/>
          <w:right w:val="nil"/>
          <w:between w:val="nil"/>
        </w:pBdr>
        <w:spacing w:before="52" w:after="0" w:line="276" w:lineRule="auto"/>
        <w:ind w:right="735"/>
        <w:jc w:val="both"/>
        <w:rPr>
          <w:rFonts w:ascii="Arial Narrow" w:eastAsia="Arial Narrow" w:hAnsi="Arial Narrow" w:cs="Arial Narrow"/>
          <w:color w:val="000000"/>
          <w:sz w:val="24"/>
          <w:szCs w:val="24"/>
        </w:rPr>
      </w:pPr>
      <w:r>
        <w:rPr>
          <w:rFonts w:ascii="Arial Narrow" w:eastAsia="Arial Narrow" w:hAnsi="Arial Narrow" w:cs="Arial Narrow"/>
          <w:i/>
          <w:color w:val="333333"/>
          <w:sz w:val="24"/>
          <w:szCs w:val="24"/>
        </w:rPr>
        <w:t>"</w:t>
      </w:r>
      <w:r>
        <w:rPr>
          <w:rFonts w:ascii="Arial Narrow" w:eastAsia="Arial Narrow" w:hAnsi="Arial Narrow" w:cs="Arial Narrow"/>
          <w:color w:val="000000"/>
          <w:sz w:val="24"/>
          <w:szCs w:val="24"/>
        </w:rPr>
        <w:t>Artículo 16. Incentivos tributarios. Únicamente los prestadores de servicios turísticos debidamente inscritos en el Registro Nacional de Turismo podrán ser beneficiarios de los incentivos tributarios y fiscales consagrados a su favor en disposiciones de orden nacional, departamental, distrital o municipal y que tenga por fin estimular, apoyar o promover la actividad turística. La omisión de la actualización del Registro Nacional de Turismo, así como el incumplimiento en el pago de la contribución parafiscal, suspenderá el incentivo tributario correspondiente al año fiscal en el cual se presente la omisión o incumplimiento”.</w:t>
      </w:r>
    </w:p>
    <w:p w14:paraId="4F750BC6" w14:textId="77777777" w:rsidR="000F098B" w:rsidRDefault="000F098B">
      <w:pPr>
        <w:widowControl w:val="0"/>
        <w:pBdr>
          <w:top w:val="nil"/>
          <w:left w:val="nil"/>
          <w:bottom w:val="nil"/>
          <w:right w:val="nil"/>
          <w:between w:val="nil"/>
        </w:pBdr>
        <w:spacing w:before="11" w:after="0" w:line="276" w:lineRule="auto"/>
        <w:rPr>
          <w:rFonts w:ascii="Arial Narrow" w:eastAsia="Arial Narrow" w:hAnsi="Arial Narrow" w:cs="Arial Narrow"/>
          <w:color w:val="000000"/>
          <w:sz w:val="24"/>
          <w:szCs w:val="24"/>
        </w:rPr>
      </w:pPr>
    </w:p>
    <w:p w14:paraId="58519DB8" w14:textId="77777777" w:rsidR="000F098B" w:rsidRDefault="00F93E5A">
      <w:pPr>
        <w:widowControl w:val="0"/>
        <w:pBdr>
          <w:top w:val="nil"/>
          <w:left w:val="nil"/>
          <w:bottom w:val="nil"/>
          <w:right w:val="nil"/>
          <w:between w:val="nil"/>
        </w:pBdr>
        <w:spacing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 igual forma con los beneficios establecidos por el Decreto 2131 de 1991</w:t>
      </w:r>
      <w:r>
        <w:rPr>
          <w:rFonts w:ascii="Arial Narrow" w:eastAsia="Arial Narrow" w:hAnsi="Arial Narrow" w:cs="Arial Narrow"/>
          <w:color w:val="000000"/>
          <w:sz w:val="24"/>
          <w:szCs w:val="24"/>
          <w:vertAlign w:val="superscript"/>
        </w:rPr>
        <w:footnoteReference w:id="23"/>
      </w:r>
      <w:r>
        <w:rPr>
          <w:rFonts w:ascii="Arial Narrow" w:eastAsia="Arial Narrow" w:hAnsi="Arial Narrow" w:cs="Arial Narrow"/>
          <w:color w:val="000000"/>
          <w:sz w:val="24"/>
          <w:szCs w:val="24"/>
        </w:rPr>
        <w:t xml:space="preserve"> en todo lo concerniente a lo que se entiende por turismo receptivo, el cual es el ingreso de turistas extranjeros y de nacionales residentes en el exterior a esta zona y que estos también puedan poseer o negociar toda clase de divisas, para el pago de los servicios turísticos allí utilizados.</w:t>
      </w:r>
    </w:p>
    <w:p w14:paraId="4E1C802C" w14:textId="77777777" w:rsidR="000F098B" w:rsidRDefault="000F098B">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p>
    <w:p w14:paraId="366DFA24" w14:textId="77777777" w:rsidR="000F098B" w:rsidRDefault="00F93E5A">
      <w:pPr>
        <w:pStyle w:val="Ttulo2"/>
        <w:numPr>
          <w:ilvl w:val="1"/>
          <w:numId w:val="3"/>
        </w:numPr>
        <w:tabs>
          <w:tab w:val="left" w:pos="1310"/>
        </w:tabs>
        <w:spacing w:before="151" w:line="276" w:lineRule="auto"/>
        <w:rPr>
          <w:rFonts w:ascii="Arial Narrow" w:eastAsia="Arial Narrow" w:hAnsi="Arial Narrow" w:cs="Arial Narrow"/>
        </w:rPr>
      </w:pPr>
      <w:r>
        <w:rPr>
          <w:rFonts w:ascii="Arial Narrow" w:eastAsia="Arial Narrow" w:hAnsi="Arial Narrow" w:cs="Arial Narrow"/>
        </w:rPr>
        <w:t>Autorización para acceder a recursos del PGN</w:t>
      </w:r>
      <w:r>
        <w:rPr>
          <w:rFonts w:ascii="Arial Narrow" w:eastAsia="Arial Narrow" w:hAnsi="Arial Narrow" w:cs="Arial Narrow"/>
        </w:rPr>
        <w:br/>
      </w:r>
    </w:p>
    <w:p w14:paraId="34220EF8" w14:textId="77777777" w:rsidR="000F098B" w:rsidRDefault="00F93E5A">
      <w:pPr>
        <w:widowControl w:val="0"/>
        <w:pBdr>
          <w:top w:val="nil"/>
          <w:left w:val="nil"/>
          <w:bottom w:val="nil"/>
          <w:right w:val="nil"/>
          <w:between w:val="nil"/>
        </w:pBdr>
        <w:spacing w:before="52"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concebir la presente iniciativa se tuvo en cuenta los elementos que normalmente generan las objeciones presidenciales </w:t>
      </w:r>
      <w:proofErr w:type="gramStart"/>
      <w:r>
        <w:rPr>
          <w:rFonts w:ascii="Arial Narrow" w:eastAsia="Arial Narrow" w:hAnsi="Arial Narrow" w:cs="Arial Narrow"/>
          <w:color w:val="000000"/>
          <w:sz w:val="24"/>
          <w:szCs w:val="24"/>
        </w:rPr>
        <w:t>en relación a</w:t>
      </w:r>
      <w:proofErr w:type="gramEnd"/>
      <w:r>
        <w:rPr>
          <w:rFonts w:ascii="Arial Narrow" w:eastAsia="Arial Narrow" w:hAnsi="Arial Narrow" w:cs="Arial Narrow"/>
          <w:color w:val="000000"/>
          <w:sz w:val="24"/>
          <w:szCs w:val="24"/>
        </w:rPr>
        <w:t xml:space="preserve"> ordenar gasto público. La facultad del Congreso de la </w:t>
      </w:r>
      <w:r>
        <w:rPr>
          <w:rFonts w:ascii="Arial Narrow" w:eastAsia="Arial Narrow" w:hAnsi="Arial Narrow" w:cs="Arial Narrow"/>
          <w:color w:val="000000"/>
          <w:sz w:val="24"/>
          <w:szCs w:val="24"/>
        </w:rPr>
        <w:lastRenderedPageBreak/>
        <w:t>República para autorizar gastos está más que sustentada y se describe con claridad el articulado pertinente sobre los principios en materia de distribución de competencias</w:t>
      </w:r>
      <w:r>
        <w:rPr>
          <w:rFonts w:ascii="Arial Narrow" w:eastAsia="Arial Narrow" w:hAnsi="Arial Narrow" w:cs="Arial Narrow"/>
          <w:color w:val="000000"/>
          <w:sz w:val="24"/>
          <w:szCs w:val="24"/>
          <w:vertAlign w:val="superscript"/>
        </w:rPr>
        <w:footnoteReference w:id="24"/>
      </w:r>
      <w:r>
        <w:rPr>
          <w:rFonts w:ascii="Arial Narrow" w:eastAsia="Arial Narrow" w:hAnsi="Arial Narrow" w:cs="Arial Narrow"/>
          <w:color w:val="000000"/>
          <w:sz w:val="24"/>
          <w:szCs w:val="24"/>
        </w:rPr>
        <w:t xml:space="preserve"> y el principio de coordinación, concurrencia y subsidiariedad (artículo 288); principio de legalidad en el gasto público (artículo 345) y, en general, su “conformidad con los requisitos del Estatuto Orgánico del Presupuesto (Leyes 38/89, 179/94 y 225/95, compiladas por el Decreto Presidencial 111 de1996); su identidad con el Plan Nacional de Desarrollo 2018-2022</w:t>
      </w:r>
      <w:r>
        <w:rPr>
          <w:rFonts w:ascii="Arial Narrow" w:eastAsia="Arial Narrow" w:hAnsi="Arial Narrow" w:cs="Arial Narrow"/>
          <w:color w:val="000000"/>
          <w:sz w:val="24"/>
          <w:szCs w:val="24"/>
          <w:vertAlign w:val="superscript"/>
        </w:rPr>
        <w:footnoteReference w:id="25"/>
      </w:r>
      <w:r>
        <w:rPr>
          <w:rFonts w:ascii="Arial Narrow" w:eastAsia="Arial Narrow" w:hAnsi="Arial Narrow" w:cs="Arial Narrow"/>
          <w:color w:val="000000"/>
          <w:sz w:val="24"/>
          <w:szCs w:val="24"/>
        </w:rPr>
        <w:t xml:space="preserve"> en cuanto a inversiones que contribuyan al logro de mayor competitividad, productividad e impacto social de las regiones”. </w:t>
      </w:r>
      <w:r>
        <w:rPr>
          <w:rFonts w:ascii="Arial Narrow" w:eastAsia="Arial Narrow" w:hAnsi="Arial Narrow" w:cs="Arial Narrow"/>
          <w:color w:val="000000"/>
          <w:sz w:val="24"/>
          <w:szCs w:val="24"/>
          <w:u w:val="single"/>
        </w:rPr>
        <w:t xml:space="preserve">No hay duda </w:t>
      </w:r>
      <w:proofErr w:type="gramStart"/>
      <w:r>
        <w:rPr>
          <w:rFonts w:ascii="Arial Narrow" w:eastAsia="Arial Narrow" w:hAnsi="Arial Narrow" w:cs="Arial Narrow"/>
          <w:color w:val="000000"/>
          <w:sz w:val="24"/>
          <w:szCs w:val="24"/>
          <w:u w:val="single"/>
        </w:rPr>
        <w:t>que</w:t>
      </w:r>
      <w:proofErr w:type="gramEnd"/>
      <w:r>
        <w:rPr>
          <w:rFonts w:ascii="Arial Narrow" w:eastAsia="Arial Narrow" w:hAnsi="Arial Narrow" w:cs="Arial Narrow"/>
          <w:color w:val="000000"/>
          <w:sz w:val="24"/>
          <w:szCs w:val="24"/>
          <w:u w:val="single"/>
        </w:rPr>
        <w:t xml:space="preserve"> la autorización dada al Gobierno nacional debe ser consecuentes con el Plan Nacional de</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u w:val="single"/>
        </w:rPr>
        <w:t>Desarrollo y el Presupuesto General de la Nación.</w:t>
      </w:r>
    </w:p>
    <w:p w14:paraId="19A51C68" w14:textId="77777777" w:rsidR="000F098B" w:rsidRDefault="000F098B">
      <w:pPr>
        <w:widowControl w:val="0"/>
        <w:pBdr>
          <w:top w:val="nil"/>
          <w:left w:val="nil"/>
          <w:bottom w:val="nil"/>
          <w:right w:val="nil"/>
          <w:between w:val="nil"/>
        </w:pBdr>
        <w:spacing w:before="9" w:after="0" w:line="276" w:lineRule="auto"/>
        <w:rPr>
          <w:rFonts w:ascii="Arial Narrow" w:eastAsia="Arial Narrow" w:hAnsi="Arial Narrow" w:cs="Arial Narrow"/>
          <w:color w:val="000000"/>
          <w:sz w:val="24"/>
          <w:szCs w:val="24"/>
        </w:rPr>
      </w:pPr>
    </w:p>
    <w:p w14:paraId="6E3F933A" w14:textId="77777777" w:rsidR="000F098B" w:rsidRDefault="00F93E5A">
      <w:pPr>
        <w:widowControl w:val="0"/>
        <w:pBdr>
          <w:top w:val="nil"/>
          <w:left w:val="nil"/>
          <w:bottom w:val="nil"/>
          <w:right w:val="nil"/>
          <w:between w:val="nil"/>
        </w:pBdr>
        <w:spacing w:before="52" w:after="0" w:line="276" w:lineRule="auto"/>
        <w:ind w:right="49"/>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lo señala el artículo 346 de la Carta, desarrollado por el artículo 39 del Estatuto Orgánico del Presupuesto -Decreto 111 de 1996, por tanto, así, se han estructurado en esta iniciativa los artículos que autorizan la destinación de presupuesto.</w:t>
      </w:r>
    </w:p>
    <w:p w14:paraId="180002EC" w14:textId="77777777" w:rsidR="000F098B" w:rsidRDefault="000F098B">
      <w:pPr>
        <w:widowControl w:val="0"/>
        <w:pBdr>
          <w:top w:val="nil"/>
          <w:left w:val="nil"/>
          <w:bottom w:val="nil"/>
          <w:right w:val="nil"/>
          <w:between w:val="nil"/>
        </w:pBdr>
        <w:spacing w:before="11" w:after="0" w:line="276" w:lineRule="auto"/>
        <w:rPr>
          <w:rFonts w:ascii="Arial Narrow" w:eastAsia="Arial Narrow" w:hAnsi="Arial Narrow" w:cs="Arial Narrow"/>
          <w:color w:val="000000"/>
          <w:sz w:val="24"/>
          <w:szCs w:val="24"/>
        </w:rPr>
      </w:pPr>
    </w:p>
    <w:p w14:paraId="537CCC1C" w14:textId="77777777" w:rsidR="000F098B" w:rsidRDefault="00F93E5A">
      <w:pPr>
        <w:widowControl w:val="0"/>
        <w:pBdr>
          <w:top w:val="nil"/>
          <w:left w:val="nil"/>
          <w:bottom w:val="nil"/>
          <w:right w:val="nil"/>
          <w:between w:val="nil"/>
        </w:pBdr>
        <w:spacing w:before="1" w:after="0" w:line="276" w:lineRule="auto"/>
        <w:ind w:left="88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Corte constitucional lo ha reiterado así:</w:t>
      </w:r>
    </w:p>
    <w:p w14:paraId="75AF26BC" w14:textId="77777777" w:rsidR="000F098B" w:rsidRDefault="000F098B">
      <w:pPr>
        <w:widowControl w:val="0"/>
        <w:pBdr>
          <w:top w:val="nil"/>
          <w:left w:val="nil"/>
          <w:bottom w:val="nil"/>
          <w:right w:val="nil"/>
          <w:between w:val="nil"/>
        </w:pBdr>
        <w:spacing w:before="2" w:after="0" w:line="276" w:lineRule="auto"/>
        <w:rPr>
          <w:rFonts w:ascii="Arial Narrow" w:eastAsia="Arial Narrow" w:hAnsi="Arial Narrow" w:cs="Arial Narrow"/>
          <w:color w:val="000000"/>
          <w:sz w:val="24"/>
          <w:szCs w:val="24"/>
        </w:rPr>
      </w:pPr>
    </w:p>
    <w:p w14:paraId="5B6DEEF5" w14:textId="77777777" w:rsidR="000F098B" w:rsidRDefault="00F93E5A">
      <w:pPr>
        <w:widowControl w:val="0"/>
        <w:pBdr>
          <w:top w:val="nil"/>
          <w:left w:val="nil"/>
          <w:bottom w:val="nil"/>
          <w:right w:val="nil"/>
          <w:between w:val="nil"/>
        </w:pBdr>
        <w:spacing w:after="0" w:line="276" w:lineRule="auto"/>
        <w:ind w:left="1590" w:right="134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w:t>
      </w:r>
      <w:proofErr w:type="gramStart"/>
      <w:r>
        <w:rPr>
          <w:rFonts w:ascii="Arial Narrow" w:eastAsia="Arial Narrow" w:hAnsi="Arial Narrow" w:cs="Arial Narrow"/>
          <w:color w:val="000000"/>
          <w:sz w:val="24"/>
          <w:szCs w:val="24"/>
        </w:rPr>
        <w:t>excepción,</w:t>
      </w:r>
      <w:proofErr w:type="gramEnd"/>
      <w:r>
        <w:rPr>
          <w:rFonts w:ascii="Arial Narrow" w:eastAsia="Arial Narrow" w:hAnsi="Arial Narrow" w:cs="Arial Narrow"/>
          <w:color w:val="000000"/>
          <w:sz w:val="24"/>
          <w:szCs w:val="24"/>
        </w:rPr>
        <w:t xml:space="preserve"> reservó para el Ejecutivo la iniciativa legislativa en relación con algunos aspectos (artículo 154 </w:t>
      </w:r>
      <w:r>
        <w:rPr>
          <w:rFonts w:ascii="Arial Narrow" w:eastAsia="Arial Narrow" w:hAnsi="Arial Narrow" w:cs="Arial Narrow"/>
          <w:color w:val="000000"/>
          <w:sz w:val="24"/>
          <w:szCs w:val="24"/>
        </w:rPr>
        <w:lastRenderedPageBreak/>
        <w:t>Constitución Política).</w:t>
      </w:r>
      <w:r>
        <w:rPr>
          <w:rFonts w:ascii="Arial Narrow" w:eastAsia="Arial Narrow" w:hAnsi="Arial Narrow" w:cs="Arial Narrow"/>
          <w:color w:val="000000"/>
          <w:sz w:val="24"/>
          <w:szCs w:val="24"/>
          <w:vertAlign w:val="superscript"/>
        </w:rPr>
        <w:footnoteReference w:id="26"/>
      </w:r>
    </w:p>
    <w:p w14:paraId="2375262A" w14:textId="77777777" w:rsidR="000F098B" w:rsidRDefault="000F098B">
      <w:pPr>
        <w:widowControl w:val="0"/>
        <w:pBdr>
          <w:top w:val="nil"/>
          <w:left w:val="nil"/>
          <w:bottom w:val="nil"/>
          <w:right w:val="nil"/>
          <w:between w:val="nil"/>
        </w:pBdr>
        <w:spacing w:before="11" w:after="0" w:line="276" w:lineRule="auto"/>
        <w:rPr>
          <w:rFonts w:ascii="Arial Narrow" w:eastAsia="Arial Narrow" w:hAnsi="Arial Narrow" w:cs="Arial Narrow"/>
          <w:color w:val="000000"/>
          <w:sz w:val="24"/>
          <w:szCs w:val="24"/>
        </w:rPr>
      </w:pPr>
    </w:p>
    <w:p w14:paraId="6045E815" w14:textId="77777777" w:rsidR="000F098B" w:rsidRDefault="00F93E5A">
      <w:pPr>
        <w:widowControl w:val="0"/>
        <w:pBdr>
          <w:top w:val="nil"/>
          <w:left w:val="nil"/>
          <w:bottom w:val="nil"/>
          <w:right w:val="nil"/>
          <w:between w:val="nil"/>
        </w:pBdr>
        <w:spacing w:after="0" w:line="276" w:lineRule="auto"/>
        <w:ind w:right="7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 significa que, en materia de gasto público, la Carta Política efectuó un reparto de competencias entre el Congreso y el Gobierno Nacional, de tal manera que ambos tienen iniciativa del gasto de conformidad con los preceptos constitucionales, y deben actuar coordinadamente dentro de sus competencias. Así, el Gobierno requiere de la aprobación de sus proyectos por parte del Congreso y el Congreso requiere de la anuencia del Gobierno, quien determinará la incorporación de los gastos decretados por el Congreso, siempre y cuando sean consecuentes con el Plan Nacional de Desarrollo y el Presupuesto General de la Nación.</w:t>
      </w:r>
      <w:r>
        <w:rPr>
          <w:rFonts w:ascii="Arial Narrow" w:eastAsia="Arial Narrow" w:hAnsi="Arial Narrow" w:cs="Arial Narrow"/>
          <w:color w:val="000000"/>
          <w:sz w:val="24"/>
          <w:szCs w:val="24"/>
          <w:vertAlign w:val="superscript"/>
        </w:rPr>
        <w:footnoteReference w:id="27"/>
      </w:r>
    </w:p>
    <w:p w14:paraId="74E54AC3" w14:textId="77777777" w:rsidR="000F098B" w:rsidRDefault="000F098B">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p>
    <w:p w14:paraId="1B721294" w14:textId="77777777" w:rsidR="000F098B" w:rsidRDefault="00F93E5A">
      <w:pPr>
        <w:widowControl w:val="0"/>
        <w:pBdr>
          <w:top w:val="nil"/>
          <w:left w:val="nil"/>
          <w:bottom w:val="nil"/>
          <w:right w:val="nil"/>
          <w:between w:val="nil"/>
        </w:pBdr>
        <w:spacing w:before="52" w:after="0" w:line="276" w:lineRule="auto"/>
        <w:ind w:right="73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manera que podemos concluir, que, de conformidad con el texto constitucional y los planteamientos de la Corte Constitucional, este proyecto de ley que decreta gasto </w:t>
      </w:r>
      <w:proofErr w:type="gramStart"/>
      <w:r>
        <w:rPr>
          <w:rFonts w:ascii="Arial Narrow" w:eastAsia="Arial Narrow" w:hAnsi="Arial Narrow" w:cs="Arial Narrow"/>
          <w:color w:val="000000"/>
          <w:sz w:val="24"/>
          <w:szCs w:val="24"/>
        </w:rPr>
        <w:t>público,</w:t>
      </w:r>
      <w:proofErr w:type="gramEnd"/>
      <w:r>
        <w:rPr>
          <w:rFonts w:ascii="Arial Narrow" w:eastAsia="Arial Narrow" w:hAnsi="Arial Narrow" w:cs="Arial Narrow"/>
          <w:color w:val="000000"/>
          <w:sz w:val="24"/>
          <w:szCs w:val="24"/>
        </w:rPr>
        <w:t xml:space="preserve"> se ajusta al ordenamiento constitucional, </w:t>
      </w:r>
      <w:r>
        <w:rPr>
          <w:rFonts w:ascii="Arial Narrow" w:eastAsia="Arial Narrow" w:hAnsi="Arial Narrow" w:cs="Arial Narrow"/>
          <w:color w:val="000000"/>
          <w:sz w:val="24"/>
          <w:szCs w:val="24"/>
          <w:u w:val="single"/>
        </w:rPr>
        <w:t>por cuanto se limita a habilitar al Gobierno para</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u w:val="single"/>
        </w:rPr>
        <w:t>incluir estos gastos en el proyecto de presupuesto</w:t>
      </w:r>
      <w:r>
        <w:rPr>
          <w:rFonts w:ascii="Arial Narrow" w:eastAsia="Arial Narrow" w:hAnsi="Arial Narrow" w:cs="Arial Narrow"/>
          <w:color w:val="000000"/>
          <w:sz w:val="24"/>
          <w:szCs w:val="24"/>
        </w:rPr>
        <w:t>. Desde este argumento, debe analizarse y aprobarse la inversión señalada en los artículos 2º, 3º y 4º del proyecto de ley ya que se ajustan a los criterios anteriormente expuestos.</w:t>
      </w:r>
    </w:p>
    <w:p w14:paraId="023F7570" w14:textId="77777777" w:rsidR="000F098B" w:rsidRDefault="000F098B">
      <w:pPr>
        <w:widowControl w:val="0"/>
        <w:pBdr>
          <w:top w:val="nil"/>
          <w:left w:val="nil"/>
          <w:bottom w:val="nil"/>
          <w:right w:val="nil"/>
          <w:between w:val="nil"/>
        </w:pBdr>
        <w:spacing w:before="11" w:after="0" w:line="276" w:lineRule="auto"/>
        <w:rPr>
          <w:rFonts w:ascii="Arial Narrow" w:eastAsia="Arial Narrow" w:hAnsi="Arial Narrow" w:cs="Arial Narrow"/>
          <w:color w:val="000000"/>
          <w:sz w:val="24"/>
          <w:szCs w:val="24"/>
        </w:rPr>
      </w:pPr>
    </w:p>
    <w:p w14:paraId="5788E99B" w14:textId="77777777" w:rsidR="000F098B" w:rsidRDefault="00F93E5A">
      <w:pPr>
        <w:pStyle w:val="Ttulo2"/>
        <w:numPr>
          <w:ilvl w:val="1"/>
          <w:numId w:val="3"/>
        </w:numPr>
        <w:tabs>
          <w:tab w:val="left" w:pos="1300"/>
        </w:tabs>
        <w:spacing w:before="1" w:line="276" w:lineRule="auto"/>
        <w:rPr>
          <w:rFonts w:ascii="Arial Narrow" w:eastAsia="Arial Narrow" w:hAnsi="Arial Narrow" w:cs="Arial Narrow"/>
        </w:rPr>
      </w:pPr>
      <w:r>
        <w:rPr>
          <w:rFonts w:ascii="Arial Narrow" w:eastAsia="Arial Narrow" w:hAnsi="Arial Narrow" w:cs="Arial Narrow"/>
        </w:rPr>
        <w:t>Competencias orgánicas entre la nación y los entes territoriales.</w:t>
      </w:r>
    </w:p>
    <w:p w14:paraId="3A76C7B0" w14:textId="77777777" w:rsidR="000F098B" w:rsidRDefault="000F098B">
      <w:pPr>
        <w:widowControl w:val="0"/>
        <w:pBdr>
          <w:top w:val="nil"/>
          <w:left w:val="nil"/>
          <w:bottom w:val="nil"/>
          <w:right w:val="nil"/>
          <w:between w:val="nil"/>
        </w:pBdr>
        <w:spacing w:before="11" w:after="0" w:line="276" w:lineRule="auto"/>
        <w:rPr>
          <w:rFonts w:ascii="Arial Narrow" w:eastAsia="Arial Narrow" w:hAnsi="Arial Narrow" w:cs="Arial Narrow"/>
          <w:b/>
          <w:color w:val="000000"/>
          <w:sz w:val="24"/>
          <w:szCs w:val="24"/>
        </w:rPr>
      </w:pPr>
    </w:p>
    <w:p w14:paraId="79D77663" w14:textId="77777777" w:rsidR="000F098B" w:rsidRDefault="00F93E5A">
      <w:pPr>
        <w:widowControl w:val="0"/>
        <w:pBdr>
          <w:top w:val="nil"/>
          <w:left w:val="nil"/>
          <w:bottom w:val="nil"/>
          <w:right w:val="nil"/>
          <w:between w:val="nil"/>
        </w:pBdr>
        <w:spacing w:before="1" w:after="0" w:line="276" w:lineRule="auto"/>
        <w:ind w:right="7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relación con los artículos que establecen las autorizaciones pertinentes sobre recursos, no se evidencia ninguna incompatibilidad </w:t>
      </w:r>
      <w:proofErr w:type="gramStart"/>
      <w:r>
        <w:rPr>
          <w:rFonts w:ascii="Arial Narrow" w:eastAsia="Arial Narrow" w:hAnsi="Arial Narrow" w:cs="Arial Narrow"/>
          <w:color w:val="000000"/>
          <w:sz w:val="24"/>
          <w:szCs w:val="24"/>
        </w:rPr>
        <w:t>en relación a</w:t>
      </w:r>
      <w:proofErr w:type="gramEnd"/>
      <w:r>
        <w:rPr>
          <w:rFonts w:ascii="Arial Narrow" w:eastAsia="Arial Narrow" w:hAnsi="Arial Narrow" w:cs="Arial Narrow"/>
          <w:color w:val="000000"/>
          <w:sz w:val="24"/>
          <w:szCs w:val="24"/>
        </w:rPr>
        <w:t xml:space="preserve"> la distribución de competencias y recursos entre la Nación y los entes territoriales. En efecto, la Ley 715 de 2001, ley orgánica que distribuye las competencias entre la Nación y las entidades territoriales de conformidad con los artículos 151 y 288 de la Constitución Política, asigna los recursos de que tratan los artículos 356 y 357 de la Constitución Política y señala los servicios que corresponde cumplir a los municipios, a los departamentos y a la Nación. Las disposiciones de esta </w:t>
      </w:r>
      <w:proofErr w:type="gramStart"/>
      <w:r>
        <w:rPr>
          <w:rFonts w:ascii="Arial Narrow" w:eastAsia="Arial Narrow" w:hAnsi="Arial Narrow" w:cs="Arial Narrow"/>
          <w:color w:val="000000"/>
          <w:sz w:val="24"/>
          <w:szCs w:val="24"/>
        </w:rPr>
        <w:t>ley,</w:t>
      </w:r>
      <w:proofErr w:type="gramEnd"/>
      <w:r>
        <w:rPr>
          <w:rFonts w:ascii="Arial Narrow" w:eastAsia="Arial Narrow" w:hAnsi="Arial Narrow" w:cs="Arial Narrow"/>
          <w:color w:val="000000"/>
          <w:sz w:val="24"/>
          <w:szCs w:val="24"/>
        </w:rPr>
        <w:t xml:space="preserve"> son el referente normativo que ha de tenerse en cuenta para verificar que los compromisos futuros sobre ejecución de proyectos de inversión en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como la señalada en </w:t>
      </w:r>
      <w:r>
        <w:rPr>
          <w:rFonts w:ascii="Arial Narrow" w:eastAsia="Arial Narrow" w:hAnsi="Arial Narrow" w:cs="Arial Narrow"/>
          <w:color w:val="000000"/>
          <w:sz w:val="24"/>
          <w:szCs w:val="24"/>
        </w:rPr>
        <w:lastRenderedPageBreak/>
        <w:t>los artículos aludidos resultan conforme a la Constitución.</w:t>
      </w:r>
    </w:p>
    <w:p w14:paraId="59E5B0CB" w14:textId="77777777" w:rsidR="000F098B" w:rsidRDefault="000F098B">
      <w:pPr>
        <w:widowControl w:val="0"/>
        <w:pBdr>
          <w:top w:val="nil"/>
          <w:left w:val="nil"/>
          <w:bottom w:val="nil"/>
          <w:right w:val="nil"/>
          <w:between w:val="nil"/>
        </w:pBdr>
        <w:spacing w:before="1" w:after="0" w:line="276" w:lineRule="auto"/>
        <w:rPr>
          <w:rFonts w:ascii="Arial Narrow" w:eastAsia="Arial Narrow" w:hAnsi="Arial Narrow" w:cs="Arial Narrow"/>
          <w:color w:val="000000"/>
          <w:sz w:val="24"/>
          <w:szCs w:val="24"/>
        </w:rPr>
      </w:pPr>
    </w:p>
    <w:p w14:paraId="5BBC4D43" w14:textId="77777777" w:rsidR="000F098B" w:rsidRDefault="000F098B">
      <w:pPr>
        <w:widowControl w:val="0"/>
        <w:pBdr>
          <w:top w:val="nil"/>
          <w:left w:val="nil"/>
          <w:bottom w:val="nil"/>
          <w:right w:val="nil"/>
          <w:between w:val="nil"/>
        </w:pBdr>
        <w:spacing w:before="1" w:after="0" w:line="276" w:lineRule="auto"/>
        <w:rPr>
          <w:rFonts w:ascii="Arial Narrow" w:eastAsia="Arial Narrow" w:hAnsi="Arial Narrow" w:cs="Arial Narrow"/>
          <w:color w:val="000000"/>
          <w:sz w:val="24"/>
          <w:szCs w:val="24"/>
        </w:rPr>
      </w:pPr>
    </w:p>
    <w:p w14:paraId="61ECE44C" w14:textId="77777777" w:rsidR="000F098B" w:rsidRDefault="00F93E5A">
      <w:pPr>
        <w:pStyle w:val="Ttulo2"/>
        <w:numPr>
          <w:ilvl w:val="1"/>
          <w:numId w:val="3"/>
        </w:numPr>
        <w:tabs>
          <w:tab w:val="left" w:pos="881"/>
        </w:tabs>
        <w:spacing w:line="276" w:lineRule="auto"/>
        <w:ind w:left="0" w:firstLine="0"/>
        <w:rPr>
          <w:rFonts w:ascii="Arial Narrow" w:eastAsia="Arial Narrow" w:hAnsi="Arial Narrow" w:cs="Arial Narrow"/>
        </w:rPr>
      </w:pPr>
      <w:r>
        <w:rPr>
          <w:rFonts w:ascii="Arial Narrow" w:eastAsia="Arial Narrow" w:hAnsi="Arial Narrow" w:cs="Arial Narrow"/>
        </w:rPr>
        <w:t>Impacto fiscal: artículo 7º de la ley 819 de 2003.</w:t>
      </w:r>
    </w:p>
    <w:p w14:paraId="57FF1318" w14:textId="77777777" w:rsidR="000F098B" w:rsidRDefault="000F098B">
      <w:pPr>
        <w:widowControl w:val="0"/>
        <w:pBdr>
          <w:top w:val="nil"/>
          <w:left w:val="nil"/>
          <w:bottom w:val="nil"/>
          <w:right w:val="nil"/>
          <w:between w:val="nil"/>
        </w:pBdr>
        <w:tabs>
          <w:tab w:val="left" w:pos="881"/>
        </w:tabs>
        <w:spacing w:before="3" w:after="0" w:line="276" w:lineRule="auto"/>
        <w:rPr>
          <w:rFonts w:ascii="Arial Narrow" w:eastAsia="Arial Narrow" w:hAnsi="Arial Narrow" w:cs="Arial Narrow"/>
          <w:b/>
          <w:color w:val="000000"/>
          <w:sz w:val="24"/>
          <w:szCs w:val="24"/>
        </w:rPr>
      </w:pPr>
    </w:p>
    <w:p w14:paraId="6F8C779A" w14:textId="77777777" w:rsidR="000F098B" w:rsidRDefault="00F93E5A">
      <w:pPr>
        <w:widowControl w:val="0"/>
        <w:pBdr>
          <w:top w:val="nil"/>
          <w:left w:val="nil"/>
          <w:bottom w:val="nil"/>
          <w:right w:val="nil"/>
          <w:between w:val="nil"/>
        </w:pBdr>
        <w:tabs>
          <w:tab w:val="left" w:pos="881"/>
        </w:tabs>
        <w:spacing w:after="0" w:line="276" w:lineRule="auto"/>
        <w:ind w:right="7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El mencionado artículo 7° de la Ley 819 de 2003, ha dicho la Corte Constitucional, se erige como una importante herramienta tanto para racionalizar el proceso legislativo como para promover la aplicación y el cumplimiento de las leyes, así como la implementación efectiva de las políticas públicas, de manera que se debe establecer el costo y la fuente presupuestal que respaldará la iniciativa. Sin embargo, como están concebido los artículos 2,3 y 4, </w:t>
      </w:r>
      <w:r>
        <w:rPr>
          <w:rFonts w:ascii="Arial Narrow" w:eastAsia="Arial Narrow" w:hAnsi="Arial Narrow" w:cs="Arial Narrow"/>
          <w:b/>
          <w:color w:val="000000"/>
          <w:sz w:val="24"/>
          <w:szCs w:val="24"/>
        </w:rPr>
        <w:t>y la fórmula del parágrafo 2</w:t>
      </w:r>
      <w:r>
        <w:rPr>
          <w:rFonts w:ascii="Arial Narrow" w:eastAsia="Arial Narrow" w:hAnsi="Arial Narrow" w:cs="Arial Narrow"/>
          <w:color w:val="000000"/>
          <w:sz w:val="24"/>
          <w:szCs w:val="24"/>
        </w:rPr>
        <w:t xml:space="preserve">º del artículo 5º, el proyecto no está generando ningún impacto fiscal en el inmediato plazo porque las autorizaciones otorgadas al Gobierno nacional en virtud de la futura ley, </w:t>
      </w:r>
      <w:r>
        <w:rPr>
          <w:rFonts w:ascii="Arial Narrow" w:eastAsia="Arial Narrow" w:hAnsi="Arial Narrow" w:cs="Arial Narrow"/>
          <w:color w:val="000000"/>
          <w:sz w:val="24"/>
          <w:szCs w:val="24"/>
          <w:u w:val="single"/>
        </w:rPr>
        <w:t>“se incorporarán, en primer lugar, reasignando los recursos hoy</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u w:val="single"/>
        </w:rPr>
        <w:t>existentes en cada órgano ejecutor, sin que ello implique un aumento del presupuesto. En</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u w:val="single"/>
        </w:rPr>
        <w:t xml:space="preserve">segundo lugar, de acuerdo con las disponibilidades que se produzcan en cada vigencia fiscal. </w:t>
      </w:r>
      <w:r>
        <w:rPr>
          <w:rFonts w:ascii="Arial Narrow" w:eastAsia="Arial Narrow" w:hAnsi="Arial Narrow" w:cs="Arial Narrow"/>
          <w:b/>
          <w:color w:val="000000"/>
          <w:sz w:val="24"/>
          <w:szCs w:val="24"/>
          <w:u w:val="single"/>
        </w:rPr>
        <w:t>Además, el proyecto se limita a autorizar al Gobierno para incluir estos gastos en el</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proyecto de presupuesto.</w:t>
      </w:r>
    </w:p>
    <w:p w14:paraId="7AD540C2" w14:textId="77777777" w:rsidR="000F098B" w:rsidRDefault="000F098B">
      <w:pPr>
        <w:widowControl w:val="0"/>
        <w:pBdr>
          <w:top w:val="nil"/>
          <w:left w:val="nil"/>
          <w:bottom w:val="nil"/>
          <w:right w:val="nil"/>
          <w:between w:val="nil"/>
        </w:pBdr>
        <w:spacing w:before="1" w:after="0" w:line="276" w:lineRule="auto"/>
        <w:rPr>
          <w:rFonts w:ascii="Arial Narrow" w:eastAsia="Arial Narrow" w:hAnsi="Arial Narrow" w:cs="Arial Narrow"/>
          <w:b/>
          <w:color w:val="000000"/>
          <w:sz w:val="24"/>
          <w:szCs w:val="24"/>
        </w:rPr>
      </w:pPr>
    </w:p>
    <w:p w14:paraId="62224F61" w14:textId="77777777" w:rsidR="000F098B" w:rsidRDefault="00F93E5A">
      <w:pPr>
        <w:widowControl w:val="0"/>
        <w:numPr>
          <w:ilvl w:val="0"/>
          <w:numId w:val="3"/>
        </w:numPr>
        <w:pBdr>
          <w:top w:val="nil"/>
          <w:left w:val="nil"/>
          <w:bottom w:val="nil"/>
          <w:right w:val="nil"/>
          <w:between w:val="nil"/>
        </w:pBdr>
        <w:tabs>
          <w:tab w:val="left" w:pos="881"/>
        </w:tabs>
        <w:spacing w:before="52" w:after="0"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CONTENIDO DEL PROYECTO DE LEY</w:t>
      </w:r>
    </w:p>
    <w:p w14:paraId="594C34A6" w14:textId="77777777" w:rsidR="000F098B" w:rsidRDefault="00F93E5A">
      <w:pPr>
        <w:widowControl w:val="0"/>
        <w:pBdr>
          <w:top w:val="nil"/>
          <w:left w:val="nil"/>
          <w:bottom w:val="nil"/>
          <w:right w:val="nil"/>
          <w:between w:val="nil"/>
        </w:pBdr>
        <w:tabs>
          <w:tab w:val="left" w:pos="881"/>
        </w:tabs>
        <w:spacing w:before="182" w:after="0" w:line="276" w:lineRule="auto"/>
        <w:ind w:right="7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presente proyecto de ley cuenta con s</w:t>
      </w:r>
      <w:r>
        <w:rPr>
          <w:rFonts w:ascii="Arial Narrow" w:eastAsia="Arial Narrow" w:hAnsi="Arial Narrow" w:cs="Arial Narrow"/>
          <w:sz w:val="24"/>
          <w:szCs w:val="24"/>
        </w:rPr>
        <w:t>iete</w:t>
      </w:r>
      <w:r>
        <w:rPr>
          <w:rFonts w:ascii="Arial Narrow" w:eastAsia="Arial Narrow" w:hAnsi="Arial Narrow" w:cs="Arial Narrow"/>
          <w:color w:val="000000"/>
          <w:sz w:val="24"/>
          <w:szCs w:val="24"/>
        </w:rPr>
        <w:t xml:space="preserve"> artículos, incluida la vigencia. En el primer artículo se señala la declaratoria de interés ambiental, turístico ecológico y </w:t>
      </w:r>
      <w:r>
        <w:rPr>
          <w:rFonts w:ascii="Arial Narrow" w:eastAsia="Arial Narrow" w:hAnsi="Arial Narrow" w:cs="Arial Narrow"/>
          <w:sz w:val="24"/>
          <w:szCs w:val="24"/>
        </w:rPr>
        <w:t>pesquero</w:t>
      </w:r>
      <w:r>
        <w:rPr>
          <w:rFonts w:ascii="Arial Narrow" w:eastAsia="Arial Narrow" w:hAnsi="Arial Narrow" w:cs="Arial Narrow"/>
          <w:color w:val="000000"/>
          <w:sz w:val="24"/>
          <w:szCs w:val="24"/>
        </w:rPr>
        <w:t xml:space="preserve"> al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En su artículo segundo, se establecen los lineamientos promovidos desde el Ministerio de Ambiente y Desarrollo Sostenible para promover el interés ambiental y ecológico de la propuesta del proyecto de ley. En su artículo tercero, se incluye el eje turístico de la iniciativa, por parte del Ministerio de Comercio, Industria y Turismo. En el artículo cuarto se introduce la participación del Ministerio de Agricultura y Desarrollo Rural para promover la actividad pesquera de la iniciativa. En el artículo quinto, los </w:t>
      </w:r>
      <w:proofErr w:type="gramStart"/>
      <w:r>
        <w:rPr>
          <w:rFonts w:ascii="Arial Narrow" w:eastAsia="Arial Narrow" w:hAnsi="Arial Narrow" w:cs="Arial Narrow"/>
          <w:sz w:val="24"/>
          <w:szCs w:val="24"/>
        </w:rPr>
        <w:t xml:space="preserve">Ministerios </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d</w:t>
      </w:r>
      <w:r>
        <w:rPr>
          <w:rFonts w:ascii="Arial Narrow" w:eastAsia="Arial Narrow" w:hAnsi="Arial Narrow" w:cs="Arial Narrow"/>
          <w:color w:val="000000"/>
          <w:sz w:val="24"/>
          <w:szCs w:val="24"/>
        </w:rPr>
        <w:t>e</w:t>
      </w:r>
      <w:proofErr w:type="gramEnd"/>
      <w:r>
        <w:rPr>
          <w:rFonts w:ascii="Arial Narrow" w:eastAsia="Arial Narrow" w:hAnsi="Arial Narrow" w:cs="Arial Narrow"/>
          <w:sz w:val="24"/>
          <w:szCs w:val="24"/>
        </w:rPr>
        <w:t xml:space="preserve"> Ambiente y Desarrollo Sostenible, el Ministerio de Comercio, Industria y Turismo y el Ministerio de Agricultura y Desarrollo Rural, en el marco de sus competencias, realizarán las acciones necesarias para apoyar, capacitar, brindar asesoría y acompañamiento a la población y autoridades que promuevan y desarrollen programas ambientales, turísticos, ecológicos y pesqueros dentro de la zona de influencia del Embalse del </w:t>
      </w:r>
      <w:proofErr w:type="spellStart"/>
      <w:r>
        <w:rPr>
          <w:rFonts w:ascii="Arial Narrow" w:eastAsia="Arial Narrow" w:hAnsi="Arial Narrow" w:cs="Arial Narrow"/>
          <w:sz w:val="24"/>
          <w:szCs w:val="24"/>
        </w:rPr>
        <w:t>Guájaro</w:t>
      </w:r>
      <w:proofErr w:type="spellEnd"/>
      <w:r>
        <w:rPr>
          <w:rFonts w:ascii="Arial Narrow" w:eastAsia="Arial Narrow" w:hAnsi="Arial Narrow" w:cs="Arial Narrow"/>
          <w:sz w:val="24"/>
          <w:szCs w:val="24"/>
        </w:rPr>
        <w:t xml:space="preserve">. En el artículo sexto, </w:t>
      </w:r>
      <w:r>
        <w:rPr>
          <w:rFonts w:ascii="Arial Narrow" w:eastAsia="Arial Narrow" w:hAnsi="Arial Narrow" w:cs="Arial Narrow"/>
          <w:color w:val="000000"/>
          <w:sz w:val="24"/>
          <w:szCs w:val="24"/>
        </w:rPr>
        <w:t xml:space="preserve">define la financiación de la iniciativa, frente a los lineamientos de presupuesto y cofinanciación. Finalmente, en el artículo </w:t>
      </w:r>
      <w:r>
        <w:rPr>
          <w:rFonts w:ascii="Arial Narrow" w:eastAsia="Arial Narrow" w:hAnsi="Arial Narrow" w:cs="Arial Narrow"/>
          <w:sz w:val="24"/>
          <w:szCs w:val="24"/>
        </w:rPr>
        <w:lastRenderedPageBreak/>
        <w:t>séptimo</w:t>
      </w:r>
      <w:r>
        <w:rPr>
          <w:rFonts w:ascii="Arial Narrow" w:eastAsia="Arial Narrow" w:hAnsi="Arial Narrow" w:cs="Arial Narrow"/>
          <w:color w:val="000000"/>
          <w:sz w:val="24"/>
          <w:szCs w:val="24"/>
        </w:rPr>
        <w:t xml:space="preserve"> se encuentra la vigencia.</w:t>
      </w:r>
    </w:p>
    <w:p w14:paraId="5B8C9A2C" w14:textId="77777777" w:rsidR="000F098B" w:rsidRDefault="00F93E5A">
      <w:pPr>
        <w:widowControl w:val="0"/>
        <w:numPr>
          <w:ilvl w:val="0"/>
          <w:numId w:val="3"/>
        </w:numPr>
        <w:pBdr>
          <w:top w:val="nil"/>
          <w:left w:val="nil"/>
          <w:bottom w:val="nil"/>
          <w:right w:val="nil"/>
          <w:between w:val="nil"/>
        </w:pBdr>
        <w:tabs>
          <w:tab w:val="left" w:pos="881"/>
        </w:tabs>
        <w:spacing w:before="182" w:after="0" w:line="276" w:lineRule="auto"/>
        <w:ind w:right="732"/>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CONSIDERACIONES DEL PONENTE</w:t>
      </w:r>
    </w:p>
    <w:p w14:paraId="3C0369F8" w14:textId="77777777" w:rsidR="000F098B" w:rsidRDefault="00F93E5A">
      <w:pPr>
        <w:widowControl w:val="0"/>
        <w:pBdr>
          <w:top w:val="nil"/>
          <w:left w:val="nil"/>
          <w:bottom w:val="nil"/>
          <w:right w:val="nil"/>
          <w:between w:val="nil"/>
        </w:pBdr>
        <w:spacing w:after="0" w:line="276" w:lineRule="auto"/>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Resaltamos la importancia de la presente iniciativa legislativa, el Proyecto de Ley No. 639 de 2021 Cámara, 346 de 2020 </w:t>
      </w:r>
      <w:proofErr w:type="gramStart"/>
      <w:r>
        <w:rPr>
          <w:rFonts w:ascii="Arial Narrow" w:eastAsia="Arial Narrow" w:hAnsi="Arial Narrow" w:cs="Arial Narrow"/>
          <w:color w:val="000000"/>
          <w:sz w:val="24"/>
          <w:szCs w:val="24"/>
        </w:rPr>
        <w:t>Senado:,</w:t>
      </w:r>
      <w:proofErr w:type="gramEnd"/>
      <w:r>
        <w:rPr>
          <w:rFonts w:ascii="Arial Narrow" w:eastAsia="Arial Narrow" w:hAnsi="Arial Narrow" w:cs="Arial Narrow"/>
          <w:color w:val="000000"/>
          <w:sz w:val="24"/>
          <w:szCs w:val="24"/>
        </w:rPr>
        <w:t xml:space="preserve"> ¨</w:t>
      </w:r>
      <w:r>
        <w:rPr>
          <w:rFonts w:ascii="Arial Narrow" w:eastAsia="Arial Narrow" w:hAnsi="Arial Narrow" w:cs="Arial Narrow"/>
          <w:i/>
          <w:color w:val="000000"/>
          <w:sz w:val="24"/>
          <w:szCs w:val="24"/>
        </w:rPr>
        <w:t xml:space="preserve">Por medio del cual se declara zona de interés ambiental, turístico y ecológico al embalse del </w:t>
      </w:r>
      <w:proofErr w:type="spellStart"/>
      <w:r>
        <w:rPr>
          <w:rFonts w:ascii="Arial Narrow" w:eastAsia="Arial Narrow" w:hAnsi="Arial Narrow" w:cs="Arial Narrow"/>
          <w:i/>
          <w:color w:val="000000"/>
          <w:sz w:val="24"/>
          <w:szCs w:val="24"/>
        </w:rPr>
        <w:t>Guájaro</w:t>
      </w:r>
      <w:proofErr w:type="spellEnd"/>
      <w:r>
        <w:rPr>
          <w:rFonts w:ascii="Arial Narrow" w:eastAsia="Arial Narrow" w:hAnsi="Arial Narrow" w:cs="Arial Narrow"/>
          <w:i/>
          <w:color w:val="000000"/>
          <w:sz w:val="24"/>
          <w:szCs w:val="24"/>
        </w:rPr>
        <w:t xml:space="preserve"> en el Departamento del Atlántico, se reconoce su potencial pesquero </w:t>
      </w:r>
    </w:p>
    <w:p w14:paraId="47A7AF38" w14:textId="54A28948" w:rsidR="000F098B" w:rsidRDefault="00F93E5A">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 xml:space="preserve">y se dictan otras disposiciones¨ </w:t>
      </w:r>
      <w:r>
        <w:rPr>
          <w:rFonts w:ascii="Arial Narrow" w:eastAsia="Arial Narrow" w:hAnsi="Arial Narrow" w:cs="Arial Narrow"/>
          <w:color w:val="000000"/>
          <w:sz w:val="24"/>
          <w:szCs w:val="24"/>
        </w:rPr>
        <w:t xml:space="preserve">tiene como pilar el reconocimiento del potencial turístico, ecológico y pesquero del Embalse del </w:t>
      </w:r>
      <w:proofErr w:type="spellStart"/>
      <w:r>
        <w:rPr>
          <w:rFonts w:ascii="Arial Narrow" w:eastAsia="Arial Narrow" w:hAnsi="Arial Narrow" w:cs="Arial Narrow"/>
          <w:color w:val="000000"/>
          <w:sz w:val="24"/>
          <w:szCs w:val="24"/>
        </w:rPr>
        <w:t>Guajaro</w:t>
      </w:r>
      <w:proofErr w:type="spellEnd"/>
      <w:r>
        <w:rPr>
          <w:rFonts w:ascii="Arial Narrow" w:eastAsia="Arial Narrow" w:hAnsi="Arial Narrow" w:cs="Arial Narrow"/>
          <w:color w:val="000000"/>
          <w:sz w:val="24"/>
          <w:szCs w:val="24"/>
        </w:rPr>
        <w:t>, así como, resaltar la importancia de iniciar un proceso de recuperación y sostenimiento ambiental en el Embalse, todo ello, como un pilar para el desarrollo económico y la seguridad alimentaria de los habitantes de la zona y, en ese sentido, al analizar el contenido del proyecto de Ley, vimos necesario solicitar a diferentes Entidades competentes en la materia, concepto acerca del contenido del mismo, con el objetivo de socializar la iniciativa y aunar esfuerzos para el fortalecimiento del referido proyecto de Ley, es así que obtuvimos concepto positivo, aunque con algunas recomendaciones y sugerencias que estudiamos y acogimos, de las Entidades que se relacionan a continuación:</w:t>
      </w:r>
    </w:p>
    <w:p w14:paraId="06F9C1AD" w14:textId="77777777" w:rsidR="000F098B" w:rsidRDefault="000F098B">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14:paraId="3687C484" w14:textId="77777777" w:rsidR="000F098B" w:rsidRDefault="00F93E5A">
      <w:pPr>
        <w:widowControl w:val="0"/>
        <w:numPr>
          <w:ilvl w:val="0"/>
          <w:numId w:val="4"/>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Ministerio de Agricultura y Desarrollo Rural conceptuó acerca del referido proyecto de Ley resaltando la importancia del Embalse del </w:t>
      </w:r>
      <w:proofErr w:type="spellStart"/>
      <w:r>
        <w:rPr>
          <w:rFonts w:ascii="Arial Narrow" w:eastAsia="Arial Narrow" w:hAnsi="Arial Narrow" w:cs="Arial Narrow"/>
          <w:color w:val="000000"/>
          <w:sz w:val="24"/>
          <w:szCs w:val="24"/>
        </w:rPr>
        <w:t>Guajaro</w:t>
      </w:r>
      <w:proofErr w:type="spellEnd"/>
      <w:r>
        <w:rPr>
          <w:rFonts w:ascii="Arial Narrow" w:eastAsia="Arial Narrow" w:hAnsi="Arial Narrow" w:cs="Arial Narrow"/>
          <w:color w:val="000000"/>
          <w:sz w:val="24"/>
          <w:szCs w:val="24"/>
        </w:rPr>
        <w:t xml:space="preserve"> es de gran importancia regional por su aporte al abastecimiento de agua a los distritos de riego de Repelón y Manatí que facilitan el desarrollo de actividades agropecuarias y genera soporte para gran cantidad de especies. </w:t>
      </w:r>
    </w:p>
    <w:p w14:paraId="118ADE69" w14:textId="77777777" w:rsidR="000F098B" w:rsidRDefault="000F098B">
      <w:pPr>
        <w:widowControl w:val="0"/>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p>
    <w:p w14:paraId="17832F8C" w14:textId="77777777" w:rsidR="000F098B" w:rsidRDefault="00F93E5A">
      <w:pPr>
        <w:widowControl w:val="0"/>
        <w:numPr>
          <w:ilvl w:val="0"/>
          <w:numId w:val="4"/>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Ministerio de Comercio, Industria y Turismo a su vez manifestó que considera favorable esta iniciativa ya que es propicia para el desarrollo turístico del Departamento del Atlántico y concuerda con la planificación turística que s dicta desde los instrumentos de política pública de turismo en Colombia. </w:t>
      </w:r>
    </w:p>
    <w:p w14:paraId="1EC3D9B0" w14:textId="77777777" w:rsidR="000F098B" w:rsidRDefault="000F098B">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14:paraId="5A8307E2" w14:textId="77777777" w:rsidR="000F098B" w:rsidRDefault="00F93E5A">
      <w:pPr>
        <w:widowControl w:val="0"/>
        <w:numPr>
          <w:ilvl w:val="0"/>
          <w:numId w:val="4"/>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Ministerio de Hacienda y Crédito Público realiza una serie de recomendaciones, las cuales se consideraron en la iniciativa legislativa desde su trámite en Senado y en esta ocasión consideramos apropiado que se continue bajo estas premisas, y en este sentido y el Ministerio manifiesta su disposición con esta iniciativa legislativa dentro de los parámetros constitucionales y legales de la diciplina fiscal vigente. </w:t>
      </w:r>
    </w:p>
    <w:p w14:paraId="6FD245DC" w14:textId="77777777" w:rsidR="000F098B" w:rsidRDefault="000F098B">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14:paraId="70CF042D" w14:textId="77777777" w:rsidR="000F098B" w:rsidRDefault="00F93E5A">
      <w:pPr>
        <w:widowControl w:val="0"/>
        <w:numPr>
          <w:ilvl w:val="0"/>
          <w:numId w:val="4"/>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Autoridad Nacional de Licencias Ambientales AUNAP, considera viable el presente proyecto de Ley y considera que se debe priorizar la recuperación del embalse y que todas las acciones que se </w:t>
      </w:r>
      <w:r>
        <w:rPr>
          <w:rFonts w:ascii="Arial Narrow" w:eastAsia="Arial Narrow" w:hAnsi="Arial Narrow" w:cs="Arial Narrow"/>
          <w:color w:val="000000"/>
          <w:sz w:val="24"/>
          <w:szCs w:val="24"/>
        </w:rPr>
        <w:lastRenderedPageBreak/>
        <w:t xml:space="preserve">emprendan en razón al desarrollo del </w:t>
      </w:r>
      <w:proofErr w:type="gramStart"/>
      <w:r>
        <w:rPr>
          <w:rFonts w:ascii="Arial Narrow" w:eastAsia="Arial Narrow" w:hAnsi="Arial Narrow" w:cs="Arial Narrow"/>
          <w:color w:val="000000"/>
          <w:sz w:val="24"/>
          <w:szCs w:val="24"/>
        </w:rPr>
        <w:t>mismo,</w:t>
      </w:r>
      <w:proofErr w:type="gramEnd"/>
      <w:r>
        <w:rPr>
          <w:rFonts w:ascii="Arial Narrow" w:eastAsia="Arial Narrow" w:hAnsi="Arial Narrow" w:cs="Arial Narrow"/>
          <w:color w:val="000000"/>
          <w:sz w:val="24"/>
          <w:szCs w:val="24"/>
        </w:rPr>
        <w:t xml:space="preserve"> deben ir encaminadas a la conservación de cuerpo de agua y las especies que allí habitan.  </w:t>
      </w:r>
    </w:p>
    <w:p w14:paraId="50E02AE8" w14:textId="77777777" w:rsidR="000F098B" w:rsidRDefault="000F098B">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14:paraId="7621D58F" w14:textId="77777777" w:rsidR="000F098B" w:rsidRDefault="00F93E5A">
      <w:pPr>
        <w:widowControl w:val="0"/>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Además de lo enunciado, las recomendaciones y sugerencias hechas en los diferentes conceptos, luego de analizadas y dialogadas con las mismas Entidades, se vincularon al presente proyecto de Ley como se puede evidenciar en el pliego de modificaciones que relacionamos a continuación. </w:t>
      </w:r>
    </w:p>
    <w:p w14:paraId="0B0ACF61" w14:textId="77777777" w:rsidR="000F098B" w:rsidRDefault="000F098B">
      <w:pPr>
        <w:widowControl w:val="0"/>
        <w:pBdr>
          <w:top w:val="nil"/>
          <w:left w:val="nil"/>
          <w:bottom w:val="nil"/>
          <w:right w:val="nil"/>
          <w:between w:val="nil"/>
        </w:pBdr>
        <w:spacing w:after="0" w:line="276" w:lineRule="auto"/>
        <w:rPr>
          <w:rFonts w:ascii="Arial Narrow" w:eastAsia="Arial Narrow" w:hAnsi="Arial Narrow" w:cs="Arial Narrow"/>
          <w:color w:val="000000"/>
          <w:sz w:val="24"/>
          <w:szCs w:val="24"/>
        </w:rPr>
      </w:pPr>
    </w:p>
    <w:p w14:paraId="38C27C9A" w14:textId="77777777" w:rsidR="000F098B" w:rsidRDefault="00F93E5A">
      <w:pPr>
        <w:pStyle w:val="Ttulo2"/>
        <w:numPr>
          <w:ilvl w:val="0"/>
          <w:numId w:val="3"/>
        </w:numPr>
        <w:tabs>
          <w:tab w:val="left" w:pos="1166"/>
        </w:tabs>
        <w:spacing w:before="52" w:line="276" w:lineRule="auto"/>
        <w:rPr>
          <w:rFonts w:ascii="Arial Narrow" w:eastAsia="Arial Narrow" w:hAnsi="Arial Narrow" w:cs="Arial Narrow"/>
        </w:rPr>
      </w:pPr>
      <w:r>
        <w:rPr>
          <w:rFonts w:ascii="Arial Narrow" w:eastAsia="Arial Narrow" w:hAnsi="Arial Narrow" w:cs="Arial Narrow"/>
        </w:rPr>
        <w:t>PROPOSICIÓN</w:t>
      </w:r>
    </w:p>
    <w:p w14:paraId="1832FAE9" w14:textId="77777777" w:rsidR="000F098B" w:rsidRDefault="000F098B">
      <w:pPr>
        <w:spacing w:after="0" w:line="276" w:lineRule="auto"/>
        <w:jc w:val="both"/>
        <w:rPr>
          <w:rFonts w:ascii="Arial Narrow" w:eastAsia="Arial Narrow" w:hAnsi="Arial Narrow" w:cs="Arial Narrow"/>
          <w:sz w:val="24"/>
          <w:szCs w:val="24"/>
        </w:rPr>
      </w:pPr>
    </w:p>
    <w:p w14:paraId="76D083C0" w14:textId="49BBB0F7" w:rsidR="000F098B" w:rsidRDefault="00F93E5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fundamento en lo anteriormente expuesto y habiendo señalado las principales modificaciones al articulado del Proyecto de Ley No. 639 de 2021 Cámara, 346 de 2020 Senado:, </w:t>
      </w:r>
      <w:r>
        <w:rPr>
          <w:rFonts w:ascii="Arial Narrow" w:eastAsia="Arial Narrow" w:hAnsi="Arial Narrow" w:cs="Arial Narrow"/>
          <w:b/>
          <w:i/>
          <w:sz w:val="24"/>
          <w:szCs w:val="24"/>
        </w:rPr>
        <w:t xml:space="preserve">“Por medio del cual se declara zona de interés ambiental, turístico, ecológico y pesquero al Embalse del </w:t>
      </w:r>
      <w:proofErr w:type="spellStart"/>
      <w:r>
        <w:rPr>
          <w:rFonts w:ascii="Arial Narrow" w:eastAsia="Arial Narrow" w:hAnsi="Arial Narrow" w:cs="Arial Narrow"/>
          <w:b/>
          <w:i/>
          <w:sz w:val="24"/>
          <w:szCs w:val="24"/>
        </w:rPr>
        <w:t>Guájaro</w:t>
      </w:r>
      <w:proofErr w:type="spellEnd"/>
      <w:r>
        <w:rPr>
          <w:rFonts w:ascii="Arial Narrow" w:eastAsia="Arial Narrow" w:hAnsi="Arial Narrow" w:cs="Arial Narrow"/>
          <w:b/>
          <w:i/>
          <w:sz w:val="24"/>
          <w:szCs w:val="24"/>
        </w:rPr>
        <w:t xml:space="preserve"> en el Departamento del Atlántico, se reconoce su potencial pesquero y se dictan otras disposiciones”, </w:t>
      </w:r>
      <w:r>
        <w:rPr>
          <w:rFonts w:ascii="Arial Narrow" w:eastAsia="Arial Narrow" w:hAnsi="Arial Narrow" w:cs="Arial Narrow"/>
          <w:sz w:val="24"/>
          <w:szCs w:val="24"/>
        </w:rPr>
        <w:t>consideramos viable su discusión en la Plenaria de</w:t>
      </w:r>
      <w:r w:rsidR="00BE31B8">
        <w:rPr>
          <w:rFonts w:ascii="Arial Narrow" w:eastAsia="Arial Narrow" w:hAnsi="Arial Narrow" w:cs="Arial Narrow"/>
          <w:sz w:val="24"/>
          <w:szCs w:val="24"/>
        </w:rPr>
        <w:t xml:space="preserve"> Cámara</w:t>
      </w:r>
      <w:r>
        <w:rPr>
          <w:rFonts w:ascii="Arial Narrow" w:eastAsia="Arial Narrow" w:hAnsi="Arial Narrow" w:cs="Arial Narrow"/>
          <w:sz w:val="24"/>
          <w:szCs w:val="24"/>
        </w:rPr>
        <w:t xml:space="preserve"> y solicitamos dar segundo debate al proyecto de Ley en mención.</w:t>
      </w:r>
    </w:p>
    <w:p w14:paraId="385B450D" w14:textId="23F1F5B1" w:rsidR="000F098B" w:rsidRDefault="003B3AF6">
      <w:pPr>
        <w:spacing w:line="276" w:lineRule="auto"/>
        <w:jc w:val="both"/>
        <w:rPr>
          <w:rFonts w:ascii="Arial Narrow" w:eastAsia="Arial Narrow" w:hAnsi="Arial Narrow" w:cs="Arial Narrow"/>
          <w:sz w:val="24"/>
          <w:szCs w:val="24"/>
        </w:rPr>
      </w:pPr>
      <w:r w:rsidRPr="004C72B0">
        <w:rPr>
          <w:rFonts w:ascii="Times New Roman" w:hAnsi="Times New Roman" w:cs="Times New Roman"/>
          <w:noProof/>
          <w:sz w:val="24"/>
          <w:szCs w:val="24"/>
          <w:lang w:eastAsia="es-CO"/>
        </w:rPr>
        <w:drawing>
          <wp:anchor distT="0" distB="0" distL="114300" distR="114300" simplePos="0" relativeHeight="251665408" behindDoc="1" locked="0" layoutInCell="1" allowOverlap="1" wp14:anchorId="0F09CC78" wp14:editId="4266817A">
            <wp:simplePos x="0" y="0"/>
            <wp:positionH relativeFrom="column">
              <wp:posOffset>3101340</wp:posOffset>
            </wp:positionH>
            <wp:positionV relativeFrom="paragraph">
              <wp:posOffset>68580</wp:posOffset>
            </wp:positionV>
            <wp:extent cx="2305050" cy="767080"/>
            <wp:effectExtent l="0" t="0" r="0" b="0"/>
            <wp:wrapNone/>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050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hidden="0" allowOverlap="1" wp14:anchorId="7886ED05" wp14:editId="146B3E73">
            <wp:simplePos x="0" y="0"/>
            <wp:positionH relativeFrom="column">
              <wp:posOffset>0</wp:posOffset>
            </wp:positionH>
            <wp:positionV relativeFrom="paragraph">
              <wp:posOffset>112395</wp:posOffset>
            </wp:positionV>
            <wp:extent cx="1853565" cy="640080"/>
            <wp:effectExtent l="0" t="0" r="0" b="762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53565" cy="640080"/>
                    </a:xfrm>
                    <a:prstGeom prst="rect">
                      <a:avLst/>
                    </a:prstGeom>
                    <a:ln/>
                  </pic:spPr>
                </pic:pic>
              </a:graphicData>
            </a:graphic>
          </wp:anchor>
        </w:drawing>
      </w:r>
      <w:r w:rsidR="00F93E5A">
        <w:rPr>
          <w:rFonts w:ascii="Arial Narrow" w:eastAsia="Arial Narrow" w:hAnsi="Arial Narrow" w:cs="Arial Narrow"/>
          <w:sz w:val="24"/>
          <w:szCs w:val="24"/>
        </w:rPr>
        <w:t xml:space="preserve">De los honorables congresistas, </w:t>
      </w:r>
    </w:p>
    <w:p w14:paraId="2074D792" w14:textId="753DAD98" w:rsidR="000F098B" w:rsidRDefault="000F098B">
      <w:pPr>
        <w:spacing w:line="276" w:lineRule="auto"/>
        <w:jc w:val="both"/>
        <w:rPr>
          <w:rFonts w:ascii="Arial Narrow" w:eastAsia="Arial Narrow" w:hAnsi="Arial Narrow" w:cs="Arial Narrow"/>
          <w:sz w:val="24"/>
          <w:szCs w:val="24"/>
        </w:rPr>
      </w:pPr>
    </w:p>
    <w:p w14:paraId="4198BBAF" w14:textId="77777777" w:rsidR="000F098B" w:rsidRDefault="00F93E5A">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ALONSO JOSÉ DEL RIO CABARCAS</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KAREN VIOLETTE CURE CORCIONE</w:t>
      </w:r>
    </w:p>
    <w:p w14:paraId="1B64FF32" w14:textId="77777777" w:rsidR="000F098B" w:rsidRDefault="00F93E5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Representante a la Cámara por Bolívar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Representante a la Cámara por Bolívar </w:t>
      </w:r>
    </w:p>
    <w:p w14:paraId="0C9ED3BE" w14:textId="77777777" w:rsidR="000F098B" w:rsidRDefault="00F93E5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Partido de la U</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Partido Cambio Radical</w:t>
      </w:r>
    </w:p>
    <w:p w14:paraId="30959EF4" w14:textId="3362910A" w:rsidR="000F098B" w:rsidRDefault="00EE3F19">
      <w:pPr>
        <w:spacing w:after="0" w:line="240" w:lineRule="auto"/>
        <w:rPr>
          <w:rFonts w:ascii="Arial Narrow" w:eastAsia="Arial Narrow" w:hAnsi="Arial Narrow" w:cs="Arial Narrow"/>
          <w:sz w:val="24"/>
          <w:szCs w:val="24"/>
        </w:rPr>
      </w:pPr>
      <w:r>
        <w:rPr>
          <w:noProof/>
        </w:rPr>
        <w:drawing>
          <wp:anchor distT="0" distB="0" distL="0" distR="0" simplePos="0" relativeHeight="251660288" behindDoc="1" locked="0" layoutInCell="1" hidden="0" allowOverlap="1" wp14:anchorId="0D21B339" wp14:editId="1B4A70C7">
            <wp:simplePos x="0" y="0"/>
            <wp:positionH relativeFrom="margin">
              <wp:posOffset>0</wp:posOffset>
            </wp:positionH>
            <wp:positionV relativeFrom="paragraph">
              <wp:posOffset>176530</wp:posOffset>
            </wp:positionV>
            <wp:extent cx="1733550" cy="561975"/>
            <wp:effectExtent l="0" t="0" r="0" b="9525"/>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33550" cy="561975"/>
                    </a:xfrm>
                    <a:prstGeom prst="rect">
                      <a:avLst/>
                    </a:prstGeom>
                    <a:ln/>
                  </pic:spPr>
                </pic:pic>
              </a:graphicData>
            </a:graphic>
            <wp14:sizeRelH relativeFrom="margin">
              <wp14:pctWidth>0</wp14:pctWidth>
            </wp14:sizeRelH>
            <wp14:sizeRelV relativeFrom="margin">
              <wp14:pctHeight>0</wp14:pctHeight>
            </wp14:sizeRelV>
          </wp:anchor>
        </w:drawing>
      </w:r>
      <w:r w:rsidR="00F93E5A">
        <w:rPr>
          <w:rFonts w:ascii="Arial Narrow" w:eastAsia="Arial Narrow" w:hAnsi="Arial Narrow" w:cs="Arial Narrow"/>
          <w:sz w:val="24"/>
          <w:szCs w:val="24"/>
        </w:rPr>
        <w:t>Ponente Coordinador</w:t>
      </w:r>
      <w:r w:rsidR="00F93E5A">
        <w:rPr>
          <w:rFonts w:ascii="Arial Narrow" w:eastAsia="Arial Narrow" w:hAnsi="Arial Narrow" w:cs="Arial Narrow"/>
          <w:sz w:val="24"/>
          <w:szCs w:val="24"/>
        </w:rPr>
        <w:tab/>
      </w:r>
      <w:r w:rsidR="00F93E5A">
        <w:rPr>
          <w:rFonts w:ascii="Arial Narrow" w:eastAsia="Arial Narrow" w:hAnsi="Arial Narrow" w:cs="Arial Narrow"/>
          <w:sz w:val="24"/>
          <w:szCs w:val="24"/>
        </w:rPr>
        <w:tab/>
      </w:r>
      <w:r w:rsidR="00F93E5A">
        <w:rPr>
          <w:rFonts w:ascii="Arial Narrow" w:eastAsia="Arial Narrow" w:hAnsi="Arial Narrow" w:cs="Arial Narrow"/>
          <w:sz w:val="24"/>
          <w:szCs w:val="24"/>
        </w:rPr>
        <w:tab/>
      </w:r>
      <w:r w:rsidR="00F93E5A">
        <w:rPr>
          <w:rFonts w:ascii="Arial Narrow" w:eastAsia="Arial Narrow" w:hAnsi="Arial Narrow" w:cs="Arial Narrow"/>
          <w:sz w:val="24"/>
          <w:szCs w:val="24"/>
        </w:rPr>
        <w:tab/>
      </w:r>
      <w:r w:rsidR="00F93E5A">
        <w:rPr>
          <w:rFonts w:ascii="Arial Narrow" w:eastAsia="Arial Narrow" w:hAnsi="Arial Narrow" w:cs="Arial Narrow"/>
          <w:sz w:val="24"/>
          <w:szCs w:val="24"/>
        </w:rPr>
        <w:tab/>
        <w:t>Ponente</w:t>
      </w:r>
    </w:p>
    <w:p w14:paraId="4C83CC29" w14:textId="724DF2A5" w:rsidR="000F098B" w:rsidRPr="00EE3F19" w:rsidRDefault="000F098B">
      <w:pPr>
        <w:spacing w:line="276" w:lineRule="auto"/>
        <w:jc w:val="both"/>
        <w:rPr>
          <w:rFonts w:ascii="Arial Narrow" w:eastAsia="Arial Narrow" w:hAnsi="Arial Narrow" w:cs="Arial Narrow"/>
          <w:sz w:val="24"/>
          <w:szCs w:val="24"/>
        </w:rPr>
      </w:pPr>
    </w:p>
    <w:p w14:paraId="773C1E07" w14:textId="77777777" w:rsidR="000F098B" w:rsidRDefault="000F098B">
      <w:pPr>
        <w:spacing w:line="276" w:lineRule="auto"/>
        <w:jc w:val="both"/>
        <w:rPr>
          <w:rFonts w:ascii="Arial Narrow" w:eastAsia="Arial Narrow" w:hAnsi="Arial Narrow" w:cs="Arial Narrow"/>
          <w:b/>
        </w:rPr>
      </w:pPr>
    </w:p>
    <w:p w14:paraId="5858EA47" w14:textId="77777777" w:rsidR="000F098B" w:rsidRDefault="00F93E5A" w:rsidP="00EE3F19">
      <w:pPr>
        <w:spacing w:line="276" w:lineRule="auto"/>
        <w:rPr>
          <w:rFonts w:ascii="Arial Narrow" w:eastAsia="Arial Narrow" w:hAnsi="Arial Narrow" w:cs="Arial Narrow"/>
          <w:color w:val="000000"/>
          <w:sz w:val="24"/>
          <w:szCs w:val="24"/>
        </w:rPr>
      </w:pPr>
      <w:r>
        <w:rPr>
          <w:rFonts w:ascii="Arial Narrow" w:eastAsia="Arial Narrow" w:hAnsi="Arial Narrow" w:cs="Arial Narrow"/>
          <w:b/>
        </w:rPr>
        <w:t>FRANKLIN DEL CRISTO LOZANO DE LA OSSA</w:t>
      </w:r>
      <w:r>
        <w:rPr>
          <w:rFonts w:ascii="Arial Narrow" w:eastAsia="Arial Narrow" w:hAnsi="Arial Narrow" w:cs="Arial Narrow"/>
          <w:b/>
        </w:rPr>
        <w:br/>
      </w:r>
      <w:r>
        <w:rPr>
          <w:rFonts w:ascii="Arial Narrow" w:eastAsia="Arial Narrow" w:hAnsi="Arial Narrow" w:cs="Arial Narrow"/>
          <w:color w:val="000000"/>
          <w:sz w:val="24"/>
          <w:szCs w:val="24"/>
        </w:rPr>
        <w:t>Representante a la Cámara por Magdalen</w:t>
      </w:r>
      <w:r>
        <w:rPr>
          <w:rFonts w:ascii="Arial Narrow" w:eastAsia="Arial Narrow" w:hAnsi="Arial Narrow" w:cs="Arial Narrow"/>
          <w:sz w:val="24"/>
          <w:szCs w:val="24"/>
        </w:rPr>
        <w:t>a</w:t>
      </w:r>
      <w:r>
        <w:rPr>
          <w:rFonts w:ascii="Arial Narrow" w:eastAsia="Arial Narrow" w:hAnsi="Arial Narrow" w:cs="Arial Narrow"/>
          <w:sz w:val="24"/>
          <w:szCs w:val="24"/>
        </w:rPr>
        <w:br/>
      </w:r>
      <w:r>
        <w:rPr>
          <w:rFonts w:ascii="Arial Narrow" w:eastAsia="Arial Narrow" w:hAnsi="Arial Narrow" w:cs="Arial Narrow"/>
          <w:color w:val="000000"/>
          <w:sz w:val="24"/>
          <w:szCs w:val="24"/>
        </w:rPr>
        <w:t>Partido Opción Ciudadana</w:t>
      </w:r>
      <w:r>
        <w:rPr>
          <w:rFonts w:ascii="Arial Narrow" w:eastAsia="Arial Narrow" w:hAnsi="Arial Narrow" w:cs="Arial Narrow"/>
          <w:sz w:val="24"/>
          <w:szCs w:val="24"/>
        </w:rPr>
        <w:br/>
      </w:r>
      <w:r>
        <w:rPr>
          <w:rFonts w:ascii="Arial Narrow" w:eastAsia="Arial Narrow" w:hAnsi="Arial Narrow" w:cs="Arial Narrow"/>
          <w:color w:val="000000"/>
          <w:sz w:val="24"/>
          <w:szCs w:val="24"/>
        </w:rPr>
        <w:t>Ponente</w:t>
      </w:r>
    </w:p>
    <w:p w14:paraId="662089D2" w14:textId="77777777" w:rsidR="000F098B" w:rsidRDefault="00F93E5A">
      <w:pPr>
        <w:rPr>
          <w:rFonts w:ascii="Arial Narrow" w:eastAsia="Arial Narrow" w:hAnsi="Arial Narrow" w:cs="Arial Narrow"/>
          <w:sz w:val="24"/>
          <w:szCs w:val="24"/>
        </w:rPr>
      </w:pPr>
      <w:r>
        <w:br w:type="page"/>
      </w:r>
    </w:p>
    <w:p w14:paraId="095429F0" w14:textId="77777777" w:rsidR="000F098B" w:rsidRDefault="00F93E5A">
      <w:pPr>
        <w:spacing w:after="0"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TEXTO PROPUESTO PARA SEGUNDO DEBATE</w:t>
      </w:r>
    </w:p>
    <w:p w14:paraId="7CD99E32" w14:textId="77777777" w:rsidR="000F098B" w:rsidRDefault="000F098B">
      <w:pPr>
        <w:widowControl w:val="0"/>
        <w:pBdr>
          <w:top w:val="nil"/>
          <w:left w:val="nil"/>
          <w:bottom w:val="nil"/>
          <w:right w:val="nil"/>
          <w:between w:val="nil"/>
        </w:pBdr>
        <w:spacing w:before="1" w:after="0" w:line="360" w:lineRule="auto"/>
        <w:ind w:left="360"/>
        <w:rPr>
          <w:rFonts w:ascii="Arial Narrow" w:eastAsia="Arial Narrow" w:hAnsi="Arial Narrow" w:cs="Arial Narrow"/>
          <w:b/>
          <w:color w:val="000000"/>
          <w:sz w:val="24"/>
          <w:szCs w:val="24"/>
        </w:rPr>
      </w:pPr>
    </w:p>
    <w:p w14:paraId="4396E557" w14:textId="77777777" w:rsidR="000F098B" w:rsidRDefault="00F93E5A">
      <w:pPr>
        <w:spacing w:after="0" w:line="360" w:lineRule="auto"/>
        <w:jc w:val="center"/>
        <w:rPr>
          <w:rFonts w:ascii="Arial Narrow" w:eastAsia="Arial Narrow" w:hAnsi="Arial Narrow" w:cs="Arial Narrow"/>
          <w:color w:val="000000"/>
          <w:sz w:val="24"/>
          <w:szCs w:val="24"/>
        </w:rPr>
      </w:pPr>
      <w:r>
        <w:rPr>
          <w:rFonts w:ascii="Arial Narrow" w:eastAsia="Arial Narrow" w:hAnsi="Arial Narrow" w:cs="Arial Narrow"/>
          <w:b/>
          <w:sz w:val="24"/>
          <w:szCs w:val="24"/>
        </w:rPr>
        <w:t>PROYECTO DE LEY NO. 639 DE 2021 CÁMARA, 346 DE 2020 SENADO:</w:t>
      </w:r>
      <w:r>
        <w:rPr>
          <w:rFonts w:ascii="Arial Narrow" w:eastAsia="Arial Narrow" w:hAnsi="Arial Narrow" w:cs="Arial Narrow"/>
          <w:sz w:val="24"/>
          <w:szCs w:val="24"/>
        </w:rPr>
        <w:t xml:space="preserve"> </w:t>
      </w:r>
      <w:r>
        <w:rPr>
          <w:rFonts w:ascii="Arial Narrow" w:eastAsia="Arial Narrow" w:hAnsi="Arial Narrow" w:cs="Arial Narrow"/>
          <w:b/>
          <w:color w:val="000000"/>
          <w:sz w:val="24"/>
          <w:szCs w:val="24"/>
        </w:rPr>
        <w:t>“POR MEDIO DEL CUAL SE DECLARA ZONA DE INTERÉS AMBIENTAL, TURÍSTICO, ECOLÓGICO Y PESQUERO AL EMBALSE DEL GUÁJARO EN EL DEPARTAMENTO DEL ATLÁNTICO, SE RECONOCE SU POTENCIAL PESQUERO Y SE DICTAN OTRAS DISPOSICIONES”</w:t>
      </w:r>
    </w:p>
    <w:p w14:paraId="0EE91A24" w14:textId="77777777" w:rsidR="000F098B" w:rsidRDefault="000F098B">
      <w:pPr>
        <w:widowControl w:val="0"/>
        <w:pBdr>
          <w:top w:val="nil"/>
          <w:left w:val="nil"/>
          <w:bottom w:val="nil"/>
          <w:right w:val="nil"/>
          <w:between w:val="nil"/>
        </w:pBdr>
        <w:spacing w:after="0" w:line="360" w:lineRule="auto"/>
        <w:rPr>
          <w:rFonts w:ascii="Arial Narrow" w:eastAsia="Arial Narrow" w:hAnsi="Arial Narrow" w:cs="Arial Narrow"/>
          <w:color w:val="000000"/>
          <w:sz w:val="24"/>
          <w:szCs w:val="24"/>
        </w:rPr>
      </w:pPr>
    </w:p>
    <w:p w14:paraId="1F9CA142" w14:textId="77777777" w:rsidR="000F098B" w:rsidRDefault="00F93E5A">
      <w:pPr>
        <w:widowControl w:val="0"/>
        <w:pBdr>
          <w:top w:val="nil"/>
          <w:left w:val="nil"/>
          <w:bottom w:val="nil"/>
          <w:right w:val="nil"/>
          <w:between w:val="nil"/>
        </w:pBdr>
        <w:spacing w:after="0"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El CONGRESO DE COLOMBIA </w:t>
      </w:r>
      <w:r>
        <w:rPr>
          <w:rFonts w:ascii="Arial Narrow" w:eastAsia="Arial Narrow" w:hAnsi="Arial Narrow" w:cs="Arial Narrow"/>
          <w:b/>
          <w:color w:val="000000"/>
          <w:sz w:val="24"/>
          <w:szCs w:val="24"/>
        </w:rPr>
        <w:br/>
      </w:r>
      <w:r>
        <w:rPr>
          <w:rFonts w:ascii="Arial Narrow" w:eastAsia="Arial Narrow" w:hAnsi="Arial Narrow" w:cs="Arial Narrow"/>
          <w:b/>
          <w:color w:val="000000"/>
          <w:sz w:val="24"/>
          <w:szCs w:val="24"/>
        </w:rPr>
        <w:br/>
        <w:t>DECRETA:</w:t>
      </w:r>
    </w:p>
    <w:p w14:paraId="56E33412" w14:textId="77777777" w:rsidR="000F098B" w:rsidRDefault="000F098B">
      <w:pPr>
        <w:widowControl w:val="0"/>
        <w:pBdr>
          <w:top w:val="nil"/>
          <w:left w:val="nil"/>
          <w:bottom w:val="nil"/>
          <w:right w:val="nil"/>
          <w:between w:val="nil"/>
        </w:pBdr>
        <w:spacing w:after="0" w:line="360" w:lineRule="auto"/>
        <w:rPr>
          <w:rFonts w:ascii="Arial Narrow" w:eastAsia="Arial Narrow" w:hAnsi="Arial Narrow" w:cs="Arial Narrow"/>
          <w:color w:val="000000"/>
          <w:sz w:val="24"/>
          <w:szCs w:val="24"/>
        </w:rPr>
      </w:pPr>
    </w:p>
    <w:p w14:paraId="6551813C"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 </w:t>
      </w:r>
      <w:r>
        <w:rPr>
          <w:rFonts w:ascii="Arial Narrow" w:eastAsia="Arial Narrow" w:hAnsi="Arial Narrow" w:cs="Arial Narrow"/>
          <w:color w:val="000000"/>
          <w:sz w:val="24"/>
          <w:szCs w:val="24"/>
        </w:rPr>
        <w:t xml:space="preserve">Declárese zona de interés ambiental, turístico, ecológico y pesquero al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ubicado entre los municipios de Sabanalarga, Repelón, Manatí y Luruaco en el departamento del Atlántico. </w:t>
      </w:r>
    </w:p>
    <w:p w14:paraId="02D7CDD1" w14:textId="77777777" w:rsidR="000F098B" w:rsidRDefault="000F098B">
      <w:pPr>
        <w:spacing w:after="0" w:line="360" w:lineRule="auto"/>
        <w:jc w:val="both"/>
        <w:rPr>
          <w:rFonts w:ascii="Arial Narrow" w:eastAsia="Arial Narrow" w:hAnsi="Arial Narrow" w:cs="Arial Narrow"/>
          <w:color w:val="000000"/>
          <w:sz w:val="24"/>
          <w:szCs w:val="24"/>
        </w:rPr>
      </w:pPr>
    </w:p>
    <w:p w14:paraId="2BFF776F"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 </w:t>
      </w:r>
      <w:r>
        <w:rPr>
          <w:rFonts w:ascii="Arial Narrow" w:eastAsia="Arial Narrow" w:hAnsi="Arial Narrow" w:cs="Arial Narrow"/>
          <w:color w:val="000000"/>
          <w:sz w:val="24"/>
          <w:szCs w:val="24"/>
        </w:rPr>
        <w:t xml:space="preserve">Se autoriza  al Ministerio de Ambiente y Desarrollo Sostenible para que destine los recursos necesarios al desarrollo de programas, planes y/o proyectos de inversión, destinados a la recuperación, protección y conservación del ecosistema con que cuenta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así como la recuperación paisajística de su entorno, la conservación de la flora, fauna y todas las especies de animales que habitan la zona, promoviendo el crecimiento adecuado y sostenible de las poblaciones acuáticas, ribereñas y/o asociadas a cuerpos de agua. </w:t>
      </w:r>
    </w:p>
    <w:p w14:paraId="0295B320" w14:textId="77777777" w:rsidR="000F098B" w:rsidRDefault="000F098B">
      <w:pPr>
        <w:spacing w:after="0" w:line="360" w:lineRule="auto"/>
        <w:jc w:val="both"/>
        <w:rPr>
          <w:rFonts w:ascii="Arial Narrow" w:eastAsia="Arial Narrow" w:hAnsi="Arial Narrow" w:cs="Arial Narrow"/>
          <w:color w:val="000000"/>
          <w:sz w:val="24"/>
          <w:szCs w:val="24"/>
        </w:rPr>
      </w:pPr>
    </w:p>
    <w:p w14:paraId="440575EB"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3°. </w:t>
      </w:r>
      <w:r>
        <w:rPr>
          <w:rFonts w:ascii="Arial Narrow" w:eastAsia="Arial Narrow" w:hAnsi="Arial Narrow" w:cs="Arial Narrow"/>
          <w:color w:val="000000"/>
          <w:sz w:val="24"/>
          <w:szCs w:val="24"/>
        </w:rPr>
        <w:t xml:space="preserve">Se autoriza al Ministerio de Comercio, Industria y Turismo para que incluya dentro de sus programas de desarrollo e infraestructura de ecoturismo, agroturismo y </w:t>
      </w:r>
      <w:proofErr w:type="spellStart"/>
      <w:r>
        <w:rPr>
          <w:rFonts w:ascii="Arial Narrow" w:eastAsia="Arial Narrow" w:hAnsi="Arial Narrow" w:cs="Arial Narrow"/>
          <w:color w:val="000000"/>
          <w:sz w:val="24"/>
          <w:szCs w:val="24"/>
        </w:rPr>
        <w:t>acuaturismo</w:t>
      </w:r>
      <w:proofErr w:type="spellEnd"/>
      <w:r>
        <w:rPr>
          <w:rFonts w:ascii="Arial Narrow" w:eastAsia="Arial Narrow" w:hAnsi="Arial Narrow" w:cs="Arial Narrow"/>
          <w:color w:val="000000"/>
          <w:sz w:val="24"/>
          <w:szCs w:val="24"/>
        </w:rPr>
        <w:t xml:space="preserve">, los proyectos de inversión que permitan e incentiven </w:t>
      </w:r>
      <w:r>
        <w:rPr>
          <w:rFonts w:ascii="Arial Narrow" w:eastAsia="Arial Narrow" w:hAnsi="Arial Narrow" w:cs="Arial Narrow"/>
          <w:sz w:val="24"/>
          <w:szCs w:val="24"/>
        </w:rPr>
        <w:t>el</w:t>
      </w:r>
      <w:r>
        <w:rPr>
          <w:rFonts w:ascii="Arial Narrow" w:eastAsia="Arial Narrow" w:hAnsi="Arial Narrow" w:cs="Arial Narrow"/>
          <w:color w:val="000000"/>
          <w:sz w:val="24"/>
          <w:szCs w:val="24"/>
        </w:rPr>
        <w:t xml:space="preserve"> desarrollo turístico y comercial sostenible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así mismo, dentro del marco de sus competencias, incluir planes, programas y/o proyectos, </w:t>
      </w:r>
      <w:r>
        <w:rPr>
          <w:rFonts w:ascii="Arial Narrow" w:eastAsia="Arial Narrow" w:hAnsi="Arial Narrow" w:cs="Arial Narrow"/>
          <w:color w:val="000000"/>
          <w:sz w:val="24"/>
          <w:szCs w:val="24"/>
        </w:rPr>
        <w:lastRenderedPageBreak/>
        <w:t xml:space="preserve">que puedan aportar al fortalecimiento de los aspectos ambientales, ecológicos y pesqueros del embalse. </w:t>
      </w:r>
    </w:p>
    <w:p w14:paraId="2089810E" w14:textId="77777777" w:rsidR="000F098B" w:rsidRDefault="000F098B">
      <w:pPr>
        <w:spacing w:after="0" w:line="360" w:lineRule="auto"/>
        <w:jc w:val="both"/>
        <w:rPr>
          <w:rFonts w:ascii="Arial Narrow" w:eastAsia="Arial Narrow" w:hAnsi="Arial Narrow" w:cs="Arial Narrow"/>
          <w:color w:val="000000"/>
          <w:sz w:val="24"/>
          <w:szCs w:val="24"/>
        </w:rPr>
      </w:pPr>
    </w:p>
    <w:p w14:paraId="5628C7E8"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4°. </w:t>
      </w:r>
      <w:r>
        <w:rPr>
          <w:rFonts w:ascii="Arial Narrow" w:eastAsia="Arial Narrow" w:hAnsi="Arial Narrow" w:cs="Arial Narrow"/>
          <w:color w:val="000000"/>
          <w:sz w:val="24"/>
          <w:szCs w:val="24"/>
        </w:rPr>
        <w:t xml:space="preserve">Se autoriza al Ministerio de Agricultura y Desarrollo Rural para que promueva y ejecute planes, programas y/o proyectos de inversión que desarrollen la actividad pesquera y acuícola de una manera sostenible, que a su vez permita la organización de esta actividad garantizando el mantenimiento de los recursos pesqueros del embalse. </w:t>
      </w:r>
    </w:p>
    <w:p w14:paraId="7589F69B" w14:textId="77777777" w:rsidR="000F098B" w:rsidRDefault="000F098B">
      <w:pPr>
        <w:spacing w:after="0" w:line="360" w:lineRule="auto"/>
        <w:jc w:val="both"/>
        <w:rPr>
          <w:rFonts w:ascii="Arial Narrow" w:eastAsia="Arial Narrow" w:hAnsi="Arial Narrow" w:cs="Arial Narrow"/>
          <w:color w:val="000000"/>
          <w:sz w:val="24"/>
          <w:szCs w:val="24"/>
        </w:rPr>
      </w:pPr>
    </w:p>
    <w:p w14:paraId="48C684A8"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Ministerio de Agricultura y Desarrollo Rural garantizará en el proceso de concertación de los planes, programas y/o proyectos que beneficien y desarrollen la actividad pesquera en 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la participación de la población pesquera que de manera individual u organizada en asociaciones y/o cooperativas realizan esta actividad en la zona de influencia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w:t>
      </w:r>
    </w:p>
    <w:p w14:paraId="02DBEDB0" w14:textId="77777777" w:rsidR="000F098B" w:rsidRDefault="000F098B">
      <w:pPr>
        <w:spacing w:after="0" w:line="360" w:lineRule="auto"/>
        <w:jc w:val="both"/>
        <w:rPr>
          <w:rFonts w:ascii="Arial Narrow" w:eastAsia="Arial Narrow" w:hAnsi="Arial Narrow" w:cs="Arial Narrow"/>
          <w:b/>
          <w:color w:val="000000"/>
          <w:sz w:val="24"/>
          <w:szCs w:val="24"/>
        </w:rPr>
      </w:pPr>
    </w:p>
    <w:p w14:paraId="4A3A2572"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5°.</w:t>
      </w:r>
      <w:r>
        <w:rPr>
          <w:rFonts w:ascii="Arial Narrow" w:eastAsia="Arial Narrow" w:hAnsi="Arial Narrow" w:cs="Arial Narrow"/>
          <w:color w:val="000000"/>
          <w:sz w:val="24"/>
          <w:szCs w:val="24"/>
        </w:rPr>
        <w:t xml:space="preserve"> El Ministerio de Ambiente y Desarrollo Sostenible, el Ministerio de Comercio, Industria y Turismo y el Ministerio de Agricultura y Desarrollo Rural, en el marco de sus competencias, realizarán las acciones necesarias para apoyar, capacitar, brindar asesoría y acompañamiento a la población y autoridades que promuevan y desarrollen programas ambientales, turísticos, ecológicos y pesqueros dentro de la zona de influencia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w:t>
      </w:r>
    </w:p>
    <w:p w14:paraId="33BB5C36" w14:textId="77777777" w:rsidR="000F098B" w:rsidRDefault="000F098B">
      <w:pPr>
        <w:spacing w:after="0" w:line="360" w:lineRule="auto"/>
        <w:jc w:val="both"/>
        <w:rPr>
          <w:rFonts w:ascii="Arial Narrow" w:eastAsia="Arial Narrow" w:hAnsi="Arial Narrow" w:cs="Arial Narrow"/>
          <w:b/>
          <w:color w:val="000000"/>
          <w:sz w:val="24"/>
          <w:szCs w:val="24"/>
        </w:rPr>
      </w:pPr>
    </w:p>
    <w:p w14:paraId="35CD4D46"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6</w:t>
      </w:r>
      <w:r>
        <w:rPr>
          <w:rFonts w:ascii="Arial Narrow" w:eastAsia="Arial Narrow" w:hAnsi="Arial Narrow" w:cs="Arial Narrow"/>
          <w:color w:val="000000"/>
          <w:sz w:val="24"/>
          <w:szCs w:val="24"/>
        </w:rPr>
        <w:t xml:space="preserve">°. Para contribuir al fomento del desarrollo de los proyectos ambientales, turísticos, ecológicos y pesqueros dentro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 xml:space="preserve">, se autoriza al Gobierno Nacional en coordinación con el Departamento del Atlántico y los municipios de Sabanalarga, Repelón, Manatí y Luruaco para que de conformidad con sus funciones constitucionales y legales incorporen dentro sus presupuestos las apropiaciones y recursos necesarios para fomentar el desarrollo de proyectos turísticos, ambientales, ecológicos y pesqueros dentro del Embalse del </w:t>
      </w:r>
      <w:proofErr w:type="spellStart"/>
      <w:r>
        <w:rPr>
          <w:rFonts w:ascii="Arial Narrow" w:eastAsia="Arial Narrow" w:hAnsi="Arial Narrow" w:cs="Arial Narrow"/>
          <w:color w:val="000000"/>
          <w:sz w:val="24"/>
          <w:szCs w:val="24"/>
        </w:rPr>
        <w:t>Guájaro</w:t>
      </w:r>
      <w:proofErr w:type="spellEnd"/>
      <w:r>
        <w:rPr>
          <w:rFonts w:ascii="Arial Narrow" w:eastAsia="Arial Narrow" w:hAnsi="Arial Narrow" w:cs="Arial Narrow"/>
          <w:color w:val="000000"/>
          <w:sz w:val="24"/>
          <w:szCs w:val="24"/>
        </w:rPr>
        <w:t>.</w:t>
      </w:r>
    </w:p>
    <w:p w14:paraId="201A3F1D" w14:textId="77777777" w:rsidR="000F098B" w:rsidRDefault="000F098B">
      <w:pPr>
        <w:spacing w:after="0" w:line="360" w:lineRule="auto"/>
        <w:jc w:val="both"/>
        <w:rPr>
          <w:rFonts w:ascii="Arial Narrow" w:eastAsia="Arial Narrow" w:hAnsi="Arial Narrow" w:cs="Arial Narrow"/>
          <w:color w:val="000000"/>
          <w:sz w:val="24"/>
          <w:szCs w:val="24"/>
        </w:rPr>
      </w:pPr>
    </w:p>
    <w:p w14:paraId="29F3F65B"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 xml:space="preserve">Parágrafo 1. </w:t>
      </w:r>
      <w:r>
        <w:rPr>
          <w:rFonts w:ascii="Arial Narrow" w:eastAsia="Arial Narrow" w:hAnsi="Arial Narrow" w:cs="Arial Narrow"/>
          <w:color w:val="000000"/>
          <w:sz w:val="24"/>
          <w:szCs w:val="24"/>
        </w:rPr>
        <w:t xml:space="preserve">A partir de la sanción de la presente ley y conforme a lo establecido en los artículos 288, 334, 341 y 345 de la Constitución Política, las competencias establecidas en la Ley 715 de 2001 y sus decretos reglamentarios, Decreto número 111 de 1996 y la Ley 819 de 2003, el Gobierno nacional y los gobiernos territoriales quedan autorizados para impulsar a través del Sistema Nacional de Cofinanciación las apropiaciones necesarias con el propósito de posibilitar el desarrollo y la ejecución de los programas de desarrollo ambiental, turístico, ecológico y pesquero para los propósitos de la presente ley. </w:t>
      </w:r>
    </w:p>
    <w:p w14:paraId="0F3ECB17" w14:textId="77777777" w:rsidR="000F098B" w:rsidRDefault="000F098B">
      <w:pPr>
        <w:spacing w:after="0" w:line="360" w:lineRule="auto"/>
        <w:jc w:val="both"/>
        <w:rPr>
          <w:rFonts w:ascii="Arial Narrow" w:eastAsia="Arial Narrow" w:hAnsi="Arial Narrow" w:cs="Arial Narrow"/>
          <w:color w:val="000000"/>
          <w:sz w:val="24"/>
          <w:szCs w:val="24"/>
        </w:rPr>
      </w:pPr>
    </w:p>
    <w:p w14:paraId="7701F683"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Parágrafo 2. </w:t>
      </w:r>
      <w:r>
        <w:rPr>
          <w:rFonts w:ascii="Arial Narrow" w:eastAsia="Arial Narrow" w:hAnsi="Arial Narrow" w:cs="Arial Narrow"/>
          <w:color w:val="000000"/>
          <w:sz w:val="24"/>
          <w:szCs w:val="24"/>
        </w:rPr>
        <w:t xml:space="preserve">Las autorizaciones otorgadas al Gobierno nacional en virtud de esta </w:t>
      </w:r>
      <w:proofErr w:type="gramStart"/>
      <w:r>
        <w:rPr>
          <w:rFonts w:ascii="Arial Narrow" w:eastAsia="Arial Narrow" w:hAnsi="Arial Narrow" w:cs="Arial Narrow"/>
          <w:color w:val="000000"/>
          <w:sz w:val="24"/>
          <w:szCs w:val="24"/>
        </w:rPr>
        <w:t>ley,</w:t>
      </w:r>
      <w:proofErr w:type="gramEnd"/>
      <w:r>
        <w:rPr>
          <w:rFonts w:ascii="Arial Narrow" w:eastAsia="Arial Narrow" w:hAnsi="Arial Narrow" w:cs="Arial Narrow"/>
          <w:color w:val="000000"/>
          <w:sz w:val="24"/>
          <w:szCs w:val="24"/>
        </w:rPr>
        <w:t xml:space="preserve"> se incorporarán de conformidad con lo establecido en el presente artículo, en primer lugar, reasignando los recursos hoy existentes en cada órgano ejecutor, sin que ello implique un aumento del presupuesto. En segundo lugar, de acuerdo con las disponibilidades que se produzcan en cada vigencia fiscal. </w:t>
      </w:r>
    </w:p>
    <w:p w14:paraId="215AF288" w14:textId="77777777" w:rsidR="000F098B" w:rsidRDefault="000F098B">
      <w:pPr>
        <w:spacing w:after="0" w:line="360" w:lineRule="auto"/>
        <w:jc w:val="both"/>
        <w:rPr>
          <w:rFonts w:ascii="Arial Narrow" w:eastAsia="Arial Narrow" w:hAnsi="Arial Narrow" w:cs="Arial Narrow"/>
          <w:color w:val="000000"/>
          <w:sz w:val="24"/>
          <w:szCs w:val="24"/>
        </w:rPr>
      </w:pPr>
    </w:p>
    <w:p w14:paraId="39171776" w14:textId="77777777" w:rsidR="000F098B" w:rsidRDefault="00F93E5A">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7°. </w:t>
      </w:r>
      <w:r>
        <w:rPr>
          <w:rFonts w:ascii="Arial Narrow" w:eastAsia="Arial Narrow" w:hAnsi="Arial Narrow" w:cs="Arial Narrow"/>
          <w:color w:val="000000"/>
          <w:sz w:val="24"/>
          <w:szCs w:val="24"/>
        </w:rPr>
        <w:t xml:space="preserve">La presente ley rige a partir de su sanción y promulgación. </w:t>
      </w:r>
    </w:p>
    <w:p w14:paraId="45EBCB5B" w14:textId="77777777" w:rsidR="000F098B" w:rsidRDefault="000F098B">
      <w:pPr>
        <w:spacing w:line="276" w:lineRule="auto"/>
        <w:jc w:val="both"/>
        <w:rPr>
          <w:rFonts w:ascii="Arial Narrow" w:eastAsia="Arial Narrow" w:hAnsi="Arial Narrow" w:cs="Arial Narrow"/>
          <w:sz w:val="24"/>
          <w:szCs w:val="24"/>
        </w:rPr>
      </w:pPr>
    </w:p>
    <w:p w14:paraId="01E53276" w14:textId="7EB6E15D" w:rsidR="000F098B" w:rsidRDefault="00EE3F19">
      <w:pPr>
        <w:spacing w:line="276" w:lineRule="auto"/>
        <w:jc w:val="both"/>
        <w:rPr>
          <w:rFonts w:ascii="Arial Narrow" w:eastAsia="Arial Narrow" w:hAnsi="Arial Narrow" w:cs="Arial Narrow"/>
          <w:sz w:val="24"/>
          <w:szCs w:val="24"/>
        </w:rPr>
      </w:pPr>
      <w:r w:rsidRPr="004C72B0">
        <w:rPr>
          <w:rFonts w:ascii="Times New Roman" w:hAnsi="Times New Roman" w:cs="Times New Roman"/>
          <w:noProof/>
          <w:sz w:val="24"/>
          <w:szCs w:val="24"/>
          <w:lang w:eastAsia="es-CO"/>
        </w:rPr>
        <w:drawing>
          <wp:anchor distT="0" distB="0" distL="114300" distR="114300" simplePos="0" relativeHeight="251667456" behindDoc="1" locked="0" layoutInCell="1" allowOverlap="1" wp14:anchorId="613C4595" wp14:editId="6CE16A3C">
            <wp:simplePos x="0" y="0"/>
            <wp:positionH relativeFrom="column">
              <wp:posOffset>3067050</wp:posOffset>
            </wp:positionH>
            <wp:positionV relativeFrom="paragraph">
              <wp:posOffset>26035</wp:posOffset>
            </wp:positionV>
            <wp:extent cx="2305050" cy="767080"/>
            <wp:effectExtent l="0" t="0" r="0" b="0"/>
            <wp:wrapNone/>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050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1" locked="0" layoutInCell="1" hidden="0" allowOverlap="1" wp14:anchorId="5684EEC8" wp14:editId="0C2E556A">
            <wp:simplePos x="0" y="0"/>
            <wp:positionH relativeFrom="column">
              <wp:posOffset>0</wp:posOffset>
            </wp:positionH>
            <wp:positionV relativeFrom="paragraph">
              <wp:posOffset>93345</wp:posOffset>
            </wp:positionV>
            <wp:extent cx="1853565" cy="640080"/>
            <wp:effectExtent l="0" t="0" r="0" b="762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53565" cy="640080"/>
                    </a:xfrm>
                    <a:prstGeom prst="rect">
                      <a:avLst/>
                    </a:prstGeom>
                    <a:ln/>
                  </pic:spPr>
                </pic:pic>
              </a:graphicData>
            </a:graphic>
          </wp:anchor>
        </w:drawing>
      </w:r>
      <w:r w:rsidR="00F93E5A">
        <w:rPr>
          <w:rFonts w:ascii="Arial Narrow" w:eastAsia="Arial Narrow" w:hAnsi="Arial Narrow" w:cs="Arial Narrow"/>
          <w:sz w:val="24"/>
          <w:szCs w:val="24"/>
        </w:rPr>
        <w:t xml:space="preserve">De los honorables congresistas, </w:t>
      </w:r>
    </w:p>
    <w:p w14:paraId="7D75B48B" w14:textId="72068205" w:rsidR="000F098B" w:rsidRDefault="000F098B">
      <w:pPr>
        <w:spacing w:line="276" w:lineRule="auto"/>
        <w:jc w:val="both"/>
        <w:rPr>
          <w:rFonts w:ascii="Arial Narrow" w:eastAsia="Arial Narrow" w:hAnsi="Arial Narrow" w:cs="Arial Narrow"/>
          <w:sz w:val="24"/>
          <w:szCs w:val="24"/>
        </w:rPr>
      </w:pPr>
    </w:p>
    <w:p w14:paraId="279C375A" w14:textId="77777777" w:rsidR="000F098B" w:rsidRDefault="00F93E5A">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ALONSO JOSÉ DEL RIO CABARCAS</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KAREN VIOLETTE CURE CORCIONE</w:t>
      </w:r>
    </w:p>
    <w:p w14:paraId="2F043F1A" w14:textId="77777777" w:rsidR="000F098B" w:rsidRDefault="00F93E5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Representante a la Cámara por Bolívar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Representante a la Cámara por Bolívar </w:t>
      </w:r>
    </w:p>
    <w:p w14:paraId="50F5A641" w14:textId="77777777" w:rsidR="000F098B" w:rsidRDefault="00F93E5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Partido de la U</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Partido Cambio Radical</w:t>
      </w:r>
    </w:p>
    <w:p w14:paraId="7AF7F555" w14:textId="77777777" w:rsidR="000F098B" w:rsidRDefault="00F93E5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Ponente Coordinador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Ponente</w:t>
      </w:r>
    </w:p>
    <w:p w14:paraId="158BC966" w14:textId="0CE5229C" w:rsidR="000F098B" w:rsidRDefault="00EE3F19">
      <w:pPr>
        <w:spacing w:after="0" w:line="240" w:lineRule="auto"/>
        <w:rPr>
          <w:rFonts w:ascii="Arial Narrow" w:eastAsia="Arial Narrow" w:hAnsi="Arial Narrow" w:cs="Arial Narrow"/>
          <w:sz w:val="24"/>
          <w:szCs w:val="24"/>
        </w:rPr>
      </w:pPr>
      <w:r>
        <w:rPr>
          <w:noProof/>
        </w:rPr>
        <w:drawing>
          <wp:anchor distT="0" distB="0" distL="0" distR="0" simplePos="0" relativeHeight="251663360" behindDoc="1" locked="0" layoutInCell="1" hidden="0" allowOverlap="1" wp14:anchorId="780ECBE5" wp14:editId="555EEE0F">
            <wp:simplePos x="0" y="0"/>
            <wp:positionH relativeFrom="column">
              <wp:posOffset>47625</wp:posOffset>
            </wp:positionH>
            <wp:positionV relativeFrom="paragraph">
              <wp:posOffset>76835</wp:posOffset>
            </wp:positionV>
            <wp:extent cx="1990725" cy="723900"/>
            <wp:effectExtent l="0" t="0" r="9525"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990725" cy="723900"/>
                    </a:xfrm>
                    <a:prstGeom prst="rect">
                      <a:avLst/>
                    </a:prstGeom>
                    <a:ln/>
                  </pic:spPr>
                </pic:pic>
              </a:graphicData>
            </a:graphic>
          </wp:anchor>
        </w:drawing>
      </w:r>
    </w:p>
    <w:p w14:paraId="321B8198" w14:textId="6B9D4ECE" w:rsidR="000F098B" w:rsidRPr="00EE3F19" w:rsidRDefault="000F098B">
      <w:pPr>
        <w:spacing w:line="276" w:lineRule="auto"/>
        <w:jc w:val="both"/>
        <w:rPr>
          <w:rFonts w:ascii="Arial Narrow" w:eastAsia="Arial Narrow" w:hAnsi="Arial Narrow" w:cs="Arial Narrow"/>
          <w:sz w:val="24"/>
          <w:szCs w:val="24"/>
        </w:rPr>
      </w:pPr>
    </w:p>
    <w:p w14:paraId="64477C68" w14:textId="77777777" w:rsidR="000F098B" w:rsidRDefault="000F098B">
      <w:pPr>
        <w:spacing w:line="276" w:lineRule="auto"/>
        <w:jc w:val="both"/>
        <w:rPr>
          <w:rFonts w:ascii="Arial Narrow" w:eastAsia="Arial Narrow" w:hAnsi="Arial Narrow" w:cs="Arial Narrow"/>
          <w:b/>
        </w:rPr>
      </w:pPr>
    </w:p>
    <w:p w14:paraId="0EAE02E8" w14:textId="77777777" w:rsidR="00EE3F19" w:rsidRDefault="00F93E5A" w:rsidP="00EE3F19">
      <w:pPr>
        <w:spacing w:after="0" w:line="276" w:lineRule="auto"/>
        <w:rPr>
          <w:rFonts w:ascii="Arial Narrow" w:eastAsia="Arial Narrow" w:hAnsi="Arial Narrow" w:cs="Arial Narrow"/>
          <w:sz w:val="24"/>
          <w:szCs w:val="24"/>
        </w:rPr>
      </w:pPr>
      <w:r>
        <w:rPr>
          <w:rFonts w:ascii="Arial Narrow" w:eastAsia="Arial Narrow" w:hAnsi="Arial Narrow" w:cs="Arial Narrow"/>
          <w:b/>
        </w:rPr>
        <w:t>FRANKLIN DEL CRISTO LOZANO DE LA OSSA</w:t>
      </w:r>
    </w:p>
    <w:p w14:paraId="382B800F" w14:textId="5416EDCF" w:rsidR="000F098B" w:rsidRPr="00EE3F19" w:rsidRDefault="00F93E5A" w:rsidP="00EE3F19">
      <w:pPr>
        <w:spacing w:after="0" w:line="276" w:lineRule="auto"/>
        <w:rPr>
          <w:rFonts w:ascii="Arial Narrow" w:eastAsia="Arial Narrow" w:hAnsi="Arial Narrow" w:cs="Arial Narrow"/>
          <w:sz w:val="24"/>
          <w:szCs w:val="24"/>
        </w:rPr>
      </w:pPr>
      <w:r>
        <w:rPr>
          <w:rFonts w:ascii="Arial Narrow" w:eastAsia="Arial Narrow" w:hAnsi="Arial Narrow" w:cs="Arial Narrow"/>
          <w:color w:val="000000"/>
          <w:sz w:val="24"/>
          <w:szCs w:val="24"/>
        </w:rPr>
        <w:t>Representante a la Cámara por Magdalena</w:t>
      </w:r>
    </w:p>
    <w:p w14:paraId="77DC856E" w14:textId="77777777" w:rsidR="000F098B" w:rsidRDefault="00F93E5A">
      <w:pPr>
        <w:widowControl w:val="0"/>
        <w:pBdr>
          <w:top w:val="nil"/>
          <w:left w:val="nil"/>
          <w:bottom w:val="nil"/>
          <w:right w:val="nil"/>
          <w:between w:val="nil"/>
        </w:pBdr>
        <w:spacing w:after="0" w:line="276" w:lineRule="auto"/>
        <w:ind w:right="73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Partido Opción Ciudadana</w:t>
      </w:r>
    </w:p>
    <w:p w14:paraId="61F7BFD3" w14:textId="77777777" w:rsidR="000F098B" w:rsidRDefault="00F93E5A">
      <w:pPr>
        <w:widowControl w:val="0"/>
        <w:pBdr>
          <w:top w:val="nil"/>
          <w:left w:val="nil"/>
          <w:bottom w:val="nil"/>
          <w:right w:val="nil"/>
          <w:between w:val="nil"/>
        </w:pBdr>
        <w:spacing w:after="0" w:line="276" w:lineRule="auto"/>
        <w:ind w:right="73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Ponente</w:t>
      </w:r>
    </w:p>
    <w:sectPr w:rsidR="000F098B">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DC02" w14:textId="77777777" w:rsidR="00C11249" w:rsidRDefault="00C11249">
      <w:pPr>
        <w:spacing w:after="0" w:line="240" w:lineRule="auto"/>
      </w:pPr>
      <w:r>
        <w:separator/>
      </w:r>
    </w:p>
  </w:endnote>
  <w:endnote w:type="continuationSeparator" w:id="0">
    <w:p w14:paraId="4155E89A" w14:textId="77777777" w:rsidR="00C11249" w:rsidRDefault="00C1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1151" w14:textId="77777777" w:rsidR="000F098B" w:rsidRDefault="00F93E5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7E187B6C" wp14:editId="0C43E569">
          <wp:simplePos x="0" y="0"/>
          <wp:positionH relativeFrom="column">
            <wp:posOffset>1148770</wp:posOffset>
          </wp:positionH>
          <wp:positionV relativeFrom="paragraph">
            <wp:posOffset>-115293</wp:posOffset>
          </wp:positionV>
          <wp:extent cx="3116580" cy="264160"/>
          <wp:effectExtent l="0" t="0" r="0" b="0"/>
          <wp:wrapSquare wrapText="bothSides" distT="0" distB="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116580" cy="264160"/>
                  </a:xfrm>
                  <a:prstGeom prst="rect">
                    <a:avLst/>
                  </a:prstGeom>
                  <a:ln/>
                </pic:spPr>
              </pic:pic>
            </a:graphicData>
          </a:graphic>
        </wp:anchor>
      </w:drawing>
    </w:r>
  </w:p>
  <w:p w14:paraId="628A022D" w14:textId="77777777" w:rsidR="000F098B" w:rsidRDefault="00F93E5A">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7ª No. 8-68 </w:t>
    </w:r>
  </w:p>
  <w:p w14:paraId="63826990" w14:textId="77777777" w:rsidR="000F098B" w:rsidRDefault="00F93E5A">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PBX 4325100 </w:t>
    </w:r>
  </w:p>
  <w:p w14:paraId="1D18A4C3" w14:textId="77777777" w:rsidR="000F098B" w:rsidRDefault="00F93E5A">
    <w:pPr>
      <w:pBdr>
        <w:top w:val="nil"/>
        <w:left w:val="nil"/>
        <w:bottom w:val="nil"/>
        <w:right w:val="nil"/>
        <w:between w:val="nil"/>
      </w:pBdr>
      <w:tabs>
        <w:tab w:val="center" w:pos="4419"/>
        <w:tab w:val="right" w:pos="8838"/>
        <w:tab w:val="left" w:pos="7501"/>
      </w:tabs>
      <w:spacing w:after="0" w:line="240" w:lineRule="auto"/>
      <w:rPr>
        <w:color w:val="000000"/>
      </w:rPr>
    </w:pPr>
    <w:r>
      <w:rPr>
        <w:rFonts w:ascii="Gill Sans" w:eastAsia="Gill Sans" w:hAnsi="Gill Sans" w:cs="Gill Sans"/>
        <w:color w:val="000000"/>
        <w:sz w:val="20"/>
        <w:szCs w:val="20"/>
      </w:rPr>
      <w:tab/>
      <w:t>Bogotá, D.C. - Colombia</w:t>
    </w:r>
    <w:r>
      <w:rPr>
        <w:rFonts w:ascii="Gill Sans" w:eastAsia="Gill Sans" w:hAnsi="Gill Sans" w:cs="Gill Sans"/>
        <w:color w:val="000000"/>
        <w:sz w:val="20"/>
        <w:szCs w:val="20"/>
      </w:rPr>
      <w:tab/>
    </w:r>
  </w:p>
  <w:p w14:paraId="55759272" w14:textId="77777777" w:rsidR="000F098B" w:rsidRDefault="000F098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9BC9" w14:textId="77777777" w:rsidR="00C11249" w:rsidRDefault="00C11249">
      <w:pPr>
        <w:spacing w:after="0" w:line="240" w:lineRule="auto"/>
      </w:pPr>
      <w:r>
        <w:separator/>
      </w:r>
    </w:p>
  </w:footnote>
  <w:footnote w:type="continuationSeparator" w:id="0">
    <w:p w14:paraId="3618D8FE" w14:textId="77777777" w:rsidR="00C11249" w:rsidRDefault="00C11249">
      <w:pPr>
        <w:spacing w:after="0" w:line="240" w:lineRule="auto"/>
      </w:pPr>
      <w:r>
        <w:continuationSeparator/>
      </w:r>
    </w:p>
  </w:footnote>
  <w:footnote w:id="1">
    <w:p w14:paraId="23C49456" w14:textId="77777777" w:rsidR="000F098B" w:rsidRDefault="00F93E5A">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Garcia, C. Gutierrez, L. De la Parra, A. (2016). EL EMBALSE DE EL GUÁJARO: DIAGNOSTICO AMBIENTAL Y ESTRATEGIAS</w:t>
      </w:r>
    </w:p>
    <w:p w14:paraId="477B5AA5" w14:textId="77777777" w:rsidR="000F098B" w:rsidRDefault="00F93E5A">
      <w:pPr>
        <w:pBdr>
          <w:top w:val="nil"/>
          <w:left w:val="nil"/>
          <w:bottom w:val="nil"/>
          <w:right w:val="nil"/>
          <w:between w:val="nil"/>
        </w:pBdr>
        <w:spacing w:after="0" w:line="240" w:lineRule="auto"/>
        <w:rPr>
          <w:color w:val="000000"/>
          <w:sz w:val="20"/>
          <w:szCs w:val="20"/>
        </w:rPr>
      </w:pPr>
      <w:r>
        <w:rPr>
          <w:color w:val="000000"/>
          <w:sz w:val="16"/>
          <w:szCs w:val="16"/>
        </w:rPr>
        <w:t>DE REHABILITACIÓN. Libro Sur del Atlántico Una Nueva Oportunidad (pp.32) Capítulo: 5 Edición: Manuel Alvarado. Colombia.</w:t>
      </w:r>
    </w:p>
  </w:footnote>
  <w:footnote w:id="2">
    <w:p w14:paraId="625136A5"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
    <w:p w14:paraId="60AA3573" w14:textId="77777777" w:rsidR="000F098B" w:rsidRDefault="00F93E5A">
      <w:pPr>
        <w:spacing w:before="73"/>
        <w:ind w:left="284" w:right="743" w:hanging="284"/>
      </w:pPr>
      <w:r>
        <w:rPr>
          <w:vertAlign w:val="superscript"/>
        </w:rPr>
        <w:footnoteRef/>
      </w:r>
      <w:r>
        <w:t xml:space="preserve"> </w:t>
      </w:r>
      <w:r>
        <w:rPr>
          <w:sz w:val="18"/>
          <w:szCs w:val="18"/>
        </w:rPr>
        <w:t>Es el número máximo de personas para el aprovechamiento turístico que una zona puede soportar, segurando una máxima satisfacción a los visitantes y una mínima repercusión sobre los recursos naturales y culturales.</w:t>
      </w:r>
    </w:p>
  </w:footnote>
  <w:footnote w:id="4">
    <w:p w14:paraId="7CD170FD"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Portal las 2 Orillas. Topocoro: el gran embalse vuelto destino turístico. Véase en: https://www.las2orillas.co/topocoro- el-gran-embalse-vuelto-destino-turistico/</w:t>
      </w:r>
    </w:p>
  </w:footnote>
  <w:footnote w:id="5">
    <w:p w14:paraId="09E88F8D" w14:textId="77777777" w:rsidR="000F098B" w:rsidRDefault="00F93E5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Portal</w:t>
      </w:r>
      <w:r>
        <w:rPr>
          <w:color w:val="000000"/>
          <w:sz w:val="20"/>
          <w:szCs w:val="20"/>
        </w:rPr>
        <w:tab/>
        <w:t>El</w:t>
      </w:r>
      <w:r>
        <w:rPr>
          <w:color w:val="000000"/>
          <w:sz w:val="20"/>
          <w:szCs w:val="20"/>
        </w:rPr>
        <w:tab/>
        <w:t>Mundo.</w:t>
      </w:r>
      <w:r>
        <w:rPr>
          <w:color w:val="000000"/>
          <w:sz w:val="20"/>
          <w:szCs w:val="20"/>
        </w:rPr>
        <w:tab/>
        <w:t>Guatapé</w:t>
      </w:r>
      <w:r>
        <w:rPr>
          <w:color w:val="000000"/>
          <w:sz w:val="20"/>
          <w:szCs w:val="20"/>
        </w:rPr>
        <w:tab/>
        <w:t>se</w:t>
      </w:r>
      <w:r>
        <w:rPr>
          <w:color w:val="000000"/>
          <w:sz w:val="20"/>
          <w:szCs w:val="20"/>
        </w:rPr>
        <w:tab/>
        <w:t>fortalece</w:t>
      </w:r>
      <w:r>
        <w:rPr>
          <w:color w:val="000000"/>
          <w:sz w:val="20"/>
          <w:szCs w:val="20"/>
        </w:rPr>
        <w:tab/>
        <w:t>en</w:t>
      </w:r>
      <w:r>
        <w:rPr>
          <w:color w:val="000000"/>
          <w:sz w:val="20"/>
          <w:szCs w:val="20"/>
        </w:rPr>
        <w:tab/>
        <w:t>turismo</w:t>
      </w:r>
      <w:r>
        <w:rPr>
          <w:color w:val="000000"/>
          <w:sz w:val="20"/>
          <w:szCs w:val="20"/>
        </w:rPr>
        <w:tab/>
        <w:t>seguro</w:t>
      </w:r>
      <w:r>
        <w:rPr>
          <w:color w:val="000000"/>
          <w:sz w:val="20"/>
          <w:szCs w:val="20"/>
        </w:rPr>
        <w:tab/>
        <w:t>y</w:t>
      </w:r>
      <w:r>
        <w:rPr>
          <w:color w:val="000000"/>
          <w:sz w:val="20"/>
          <w:szCs w:val="20"/>
        </w:rPr>
        <w:tab/>
        <w:t>de</w:t>
      </w:r>
      <w:r>
        <w:rPr>
          <w:color w:val="000000"/>
          <w:sz w:val="20"/>
          <w:szCs w:val="20"/>
        </w:rPr>
        <w:tab/>
        <w:t>alto</w:t>
      </w:r>
      <w:r>
        <w:rPr>
          <w:color w:val="000000"/>
          <w:sz w:val="20"/>
          <w:szCs w:val="20"/>
        </w:rPr>
        <w:tab/>
        <w:t>nivel.</w:t>
      </w:r>
      <w:r>
        <w:rPr>
          <w:color w:val="000000"/>
          <w:sz w:val="20"/>
          <w:szCs w:val="20"/>
        </w:rPr>
        <w:tab/>
        <w:t>Véase</w:t>
      </w:r>
      <w:r>
        <w:rPr>
          <w:color w:val="000000"/>
          <w:sz w:val="20"/>
          <w:szCs w:val="20"/>
        </w:rPr>
        <w:tab/>
        <w:t xml:space="preserve">en: </w:t>
      </w:r>
      <w:hyperlink r:id="rId1">
        <w:r>
          <w:rPr>
            <w:color w:val="0563C1"/>
            <w:sz w:val="20"/>
            <w:szCs w:val="20"/>
            <w:u w:val="single"/>
          </w:rPr>
          <w:t>https://www.elmundo.com/noticia/Guatape-se-fortalece-en-turismo-seguro-y-de-alto-nivel/355012</w:t>
        </w:r>
      </w:hyperlink>
      <w:r>
        <w:rPr>
          <w:color w:val="000000"/>
          <w:sz w:val="20"/>
          <w:szCs w:val="20"/>
        </w:rPr>
        <w:t xml:space="preserve"> </w:t>
      </w:r>
    </w:p>
  </w:footnote>
  <w:footnote w:id="6">
    <w:p w14:paraId="39D7CE98"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Periódico El Tiempo. Hundimiento de ‘El Almirante’ no ahogó el turismo en Guatapé. Véase en: </w:t>
      </w:r>
      <w:hyperlink r:id="rId2">
        <w:r>
          <w:rPr>
            <w:color w:val="0000FF"/>
            <w:sz w:val="18"/>
            <w:szCs w:val="18"/>
            <w:u w:val="single"/>
          </w:rPr>
          <w:t>https://www.eltiempo.com/colombia/medellin/asi-va-el-turismo-en-guatape-un-ano-despues-del-hundimiento-de-</w:t>
        </w:r>
      </w:hyperlink>
      <w:r>
        <w:rPr>
          <w:color w:val="0000FF"/>
          <w:sz w:val="18"/>
          <w:szCs w:val="18"/>
        </w:rPr>
        <w:t xml:space="preserve"> </w:t>
      </w:r>
      <w:hyperlink r:id="rId3">
        <w:r>
          <w:rPr>
            <w:color w:val="0000FF"/>
            <w:sz w:val="18"/>
            <w:szCs w:val="18"/>
            <w:u w:val="single"/>
          </w:rPr>
          <w:t>el-almirante-235436</w:t>
        </w:r>
      </w:hyperlink>
    </w:p>
  </w:footnote>
  <w:footnote w:id="7">
    <w:p w14:paraId="271D63CE"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Ministerio</w:t>
      </w:r>
      <w:r>
        <w:rPr>
          <w:color w:val="000000"/>
          <w:sz w:val="20"/>
          <w:szCs w:val="20"/>
        </w:rPr>
        <w:tab/>
        <w:t>de</w:t>
      </w:r>
      <w:r>
        <w:rPr>
          <w:color w:val="000000"/>
          <w:sz w:val="20"/>
          <w:szCs w:val="20"/>
        </w:rPr>
        <w:tab/>
        <w:t>Agricultura</w:t>
      </w:r>
      <w:r>
        <w:rPr>
          <w:color w:val="000000"/>
          <w:sz w:val="20"/>
          <w:szCs w:val="20"/>
        </w:rPr>
        <w:tab/>
        <w:t>y</w:t>
      </w:r>
      <w:r>
        <w:rPr>
          <w:color w:val="000000"/>
          <w:sz w:val="20"/>
          <w:szCs w:val="20"/>
        </w:rPr>
        <w:tab/>
        <w:t>Desarrollo</w:t>
      </w:r>
      <w:r>
        <w:rPr>
          <w:color w:val="000000"/>
          <w:sz w:val="20"/>
          <w:szCs w:val="20"/>
        </w:rPr>
        <w:tab/>
        <w:t>Rural.</w:t>
      </w:r>
      <w:r>
        <w:rPr>
          <w:color w:val="000000"/>
          <w:sz w:val="20"/>
          <w:szCs w:val="20"/>
        </w:rPr>
        <w:tab/>
        <w:t>Datos</w:t>
      </w:r>
      <w:r>
        <w:rPr>
          <w:color w:val="000000"/>
          <w:sz w:val="20"/>
          <w:szCs w:val="20"/>
        </w:rPr>
        <w:tab/>
        <w:t>y</w:t>
      </w:r>
      <w:r>
        <w:rPr>
          <w:color w:val="000000"/>
          <w:sz w:val="20"/>
          <w:szCs w:val="20"/>
        </w:rPr>
        <w:tab/>
        <w:t>estadísticas. Véase</w:t>
      </w:r>
      <w:r>
        <w:rPr>
          <w:color w:val="000000"/>
          <w:sz w:val="20"/>
          <w:szCs w:val="20"/>
        </w:rPr>
        <w:tab/>
        <w:t xml:space="preserve">en: https://sioc.minagricultura.gov.co/Acuicultura/Documentos/2019-09 30%20Cifras%20Sectoriales.pdf#search=pesca </w:t>
      </w:r>
    </w:p>
  </w:footnote>
  <w:footnote w:id="8">
    <w:p w14:paraId="2D8A8D5C"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Plan de Desarrollo, Departamento del Atlántico. 2020-2023. Atlántico para la gente. Colombia.</w:t>
      </w:r>
    </w:p>
  </w:footnote>
  <w:footnote w:id="9">
    <w:p w14:paraId="375DCCC0"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Ministerio</w:t>
      </w:r>
      <w:r>
        <w:rPr>
          <w:color w:val="000000"/>
          <w:sz w:val="18"/>
          <w:szCs w:val="18"/>
        </w:rPr>
        <w:tab/>
        <w:t>de</w:t>
      </w:r>
      <w:r>
        <w:rPr>
          <w:color w:val="000000"/>
          <w:sz w:val="18"/>
          <w:szCs w:val="18"/>
        </w:rPr>
        <w:tab/>
        <w:t>Agricultura</w:t>
      </w:r>
      <w:r>
        <w:rPr>
          <w:color w:val="000000"/>
          <w:sz w:val="18"/>
          <w:szCs w:val="18"/>
        </w:rPr>
        <w:tab/>
        <w:t>y</w:t>
      </w:r>
      <w:r>
        <w:rPr>
          <w:color w:val="000000"/>
          <w:sz w:val="18"/>
          <w:szCs w:val="18"/>
        </w:rPr>
        <w:tab/>
        <w:t>Desarrollo</w:t>
      </w:r>
      <w:r>
        <w:rPr>
          <w:color w:val="000000"/>
          <w:sz w:val="18"/>
          <w:szCs w:val="18"/>
        </w:rPr>
        <w:tab/>
        <w:t>Rural.</w:t>
      </w:r>
      <w:r>
        <w:rPr>
          <w:color w:val="000000"/>
          <w:sz w:val="18"/>
          <w:szCs w:val="18"/>
        </w:rPr>
        <w:tab/>
        <w:t>Datos</w:t>
      </w:r>
      <w:r>
        <w:rPr>
          <w:color w:val="000000"/>
          <w:sz w:val="18"/>
          <w:szCs w:val="18"/>
        </w:rPr>
        <w:tab/>
        <w:t>y</w:t>
      </w:r>
      <w:r>
        <w:rPr>
          <w:color w:val="000000"/>
          <w:sz w:val="18"/>
          <w:szCs w:val="18"/>
        </w:rPr>
        <w:tab/>
        <w:t>estadísticas.</w:t>
      </w:r>
      <w:r>
        <w:rPr>
          <w:color w:val="000000"/>
          <w:sz w:val="18"/>
          <w:szCs w:val="18"/>
        </w:rPr>
        <w:tab/>
        <w:t>Véase</w:t>
      </w:r>
      <w:r>
        <w:rPr>
          <w:color w:val="000000"/>
          <w:sz w:val="18"/>
          <w:szCs w:val="18"/>
        </w:rPr>
        <w:tab/>
        <w:t xml:space="preserve">en: </w:t>
      </w:r>
      <w:hyperlink r:id="rId4" w:anchor="search%3Dpesca">
        <w:r>
          <w:rPr>
            <w:color w:val="0000FF"/>
            <w:sz w:val="18"/>
            <w:szCs w:val="18"/>
            <w:u w:val="single"/>
          </w:rPr>
          <w:t>https://sioc.minagricultura.gov.co/Acuicultura/Documentos/2019-09 30%20Cifras%20Sectoriales.pdf#search=pesca</w:t>
        </w:r>
      </w:hyperlink>
    </w:p>
  </w:footnote>
  <w:footnote w:id="10">
    <w:p w14:paraId="2484C2C9" w14:textId="77777777" w:rsidR="000F098B" w:rsidRDefault="00F93E5A">
      <w:pPr>
        <w:spacing w:line="219" w:lineRule="auto"/>
        <w:rPr>
          <w:sz w:val="18"/>
          <w:szCs w:val="18"/>
        </w:rPr>
      </w:pPr>
      <w:r>
        <w:rPr>
          <w:vertAlign w:val="superscript"/>
        </w:rPr>
        <w:footnoteRef/>
      </w:r>
      <w:r>
        <w:t xml:space="preserve"> </w:t>
      </w:r>
      <w:r>
        <w:rPr>
          <w:sz w:val="18"/>
          <w:szCs w:val="18"/>
        </w:rPr>
        <w:t>Plan de Desarrollo, Departamento del Atlántico. 2020-2023. Atlántico para la gente. Colombia.</w:t>
      </w:r>
    </w:p>
  </w:footnote>
  <w:footnote w:id="11">
    <w:p w14:paraId="1431551D"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Ministerio</w:t>
      </w:r>
      <w:r>
        <w:rPr>
          <w:color w:val="000000"/>
          <w:sz w:val="18"/>
          <w:szCs w:val="18"/>
        </w:rPr>
        <w:tab/>
        <w:t>de</w:t>
      </w:r>
      <w:r>
        <w:rPr>
          <w:color w:val="000000"/>
          <w:sz w:val="18"/>
          <w:szCs w:val="18"/>
        </w:rPr>
        <w:tab/>
        <w:t>Agricultura</w:t>
      </w:r>
      <w:r>
        <w:rPr>
          <w:color w:val="000000"/>
          <w:sz w:val="18"/>
          <w:szCs w:val="18"/>
        </w:rPr>
        <w:tab/>
        <w:t>y</w:t>
      </w:r>
      <w:r>
        <w:rPr>
          <w:color w:val="000000"/>
          <w:sz w:val="18"/>
          <w:szCs w:val="18"/>
        </w:rPr>
        <w:tab/>
        <w:t>Desarrollo</w:t>
      </w:r>
      <w:r>
        <w:rPr>
          <w:color w:val="000000"/>
          <w:sz w:val="18"/>
          <w:szCs w:val="18"/>
        </w:rPr>
        <w:tab/>
        <w:t>Rural.</w:t>
      </w:r>
      <w:r>
        <w:rPr>
          <w:color w:val="000000"/>
          <w:sz w:val="18"/>
          <w:szCs w:val="18"/>
        </w:rPr>
        <w:tab/>
        <w:t>Datos</w:t>
      </w:r>
      <w:r>
        <w:rPr>
          <w:color w:val="000000"/>
          <w:sz w:val="18"/>
          <w:szCs w:val="18"/>
        </w:rPr>
        <w:tab/>
        <w:t>y</w:t>
      </w:r>
      <w:r>
        <w:rPr>
          <w:color w:val="000000"/>
          <w:sz w:val="18"/>
          <w:szCs w:val="18"/>
        </w:rPr>
        <w:tab/>
        <w:t>estadísticas.</w:t>
      </w:r>
      <w:r>
        <w:rPr>
          <w:color w:val="000000"/>
          <w:sz w:val="18"/>
          <w:szCs w:val="18"/>
        </w:rPr>
        <w:tab/>
        <w:t>Véase</w:t>
      </w:r>
      <w:r>
        <w:rPr>
          <w:color w:val="000000"/>
          <w:sz w:val="18"/>
          <w:szCs w:val="18"/>
        </w:rPr>
        <w:tab/>
        <w:t xml:space="preserve">en: </w:t>
      </w:r>
      <w:hyperlink r:id="rId5" w:anchor="search%3Dpesca">
        <w:r>
          <w:rPr>
            <w:color w:val="0000FF"/>
            <w:sz w:val="18"/>
            <w:szCs w:val="18"/>
            <w:u w:val="single"/>
          </w:rPr>
          <w:t>https://sioc.minagricultura.gov.co/Acuicultura/Documentos/2019-09 30%20Cifras%20Sectoriales.pdf#search=pesca</w:t>
        </w:r>
      </w:hyperlink>
    </w:p>
  </w:footnote>
  <w:footnote w:id="12">
    <w:p w14:paraId="439B06F0"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Trabajos presentados al Segundo Taller Internacional sobre Ecología y Manejo de Peces en Lagos y Embalses. COPESCAL Technical Paper. No. 9 (Es). </w:t>
      </w:r>
      <w:hyperlink r:id="rId6">
        <w:r>
          <w:rPr>
            <w:color w:val="0563C1"/>
            <w:sz w:val="20"/>
            <w:szCs w:val="20"/>
            <w:u w:val="single"/>
          </w:rPr>
          <w:t>http://www.fao.org/inland-fisheries/tools/detail/es/c/1149752/</w:t>
        </w:r>
      </w:hyperlink>
    </w:p>
    <w:p w14:paraId="2D65F104" w14:textId="77777777" w:rsidR="000F098B" w:rsidRDefault="000F098B">
      <w:pPr>
        <w:pBdr>
          <w:top w:val="nil"/>
          <w:left w:val="nil"/>
          <w:bottom w:val="nil"/>
          <w:right w:val="nil"/>
          <w:between w:val="nil"/>
        </w:pBdr>
        <w:spacing w:after="0" w:line="240" w:lineRule="auto"/>
        <w:rPr>
          <w:color w:val="000000"/>
          <w:sz w:val="20"/>
          <w:szCs w:val="20"/>
        </w:rPr>
      </w:pPr>
    </w:p>
  </w:footnote>
  <w:footnote w:id="13">
    <w:p w14:paraId="3ADBF966" w14:textId="77777777" w:rsidR="000F098B" w:rsidRDefault="00F93E5A">
      <w:pPr>
        <w:spacing w:before="19"/>
        <w:rPr>
          <w:sz w:val="18"/>
          <w:szCs w:val="18"/>
        </w:rPr>
      </w:pPr>
      <w:r>
        <w:rPr>
          <w:vertAlign w:val="superscript"/>
        </w:rPr>
        <w:footnoteRef/>
      </w:r>
      <w:r>
        <w:t xml:space="preserve"> </w:t>
      </w:r>
      <w:r>
        <w:rPr>
          <w:sz w:val="18"/>
          <w:szCs w:val="18"/>
        </w:rPr>
        <w:t>Plan de Desarrollo, Departamento del Atlántico. 2020-2023. Atlántico para la gente. Colombia.</w:t>
      </w:r>
    </w:p>
    <w:p w14:paraId="23FB9AD1" w14:textId="77777777" w:rsidR="000F098B" w:rsidRDefault="000F098B">
      <w:pPr>
        <w:pBdr>
          <w:top w:val="nil"/>
          <w:left w:val="nil"/>
          <w:bottom w:val="nil"/>
          <w:right w:val="nil"/>
          <w:between w:val="nil"/>
        </w:pBdr>
        <w:spacing w:after="0" w:line="240" w:lineRule="auto"/>
        <w:rPr>
          <w:color w:val="000000"/>
          <w:sz w:val="20"/>
          <w:szCs w:val="20"/>
        </w:rPr>
      </w:pPr>
    </w:p>
  </w:footnote>
  <w:footnote w:id="14">
    <w:p w14:paraId="066F18D3" w14:textId="77777777" w:rsidR="000F098B" w:rsidRDefault="00F93E5A">
      <w:pPr>
        <w:spacing w:before="75" w:line="219" w:lineRule="auto"/>
      </w:pPr>
      <w:r>
        <w:rPr>
          <w:vertAlign w:val="superscript"/>
        </w:rPr>
        <w:footnoteRef/>
      </w:r>
      <w:r>
        <w:t xml:space="preserve"> </w:t>
      </w:r>
      <w:r>
        <w:rPr>
          <w:sz w:val="18"/>
          <w:szCs w:val="18"/>
        </w:rPr>
        <w:t>Informe De Empalme 2016 – 2020. Gobernación del Departamento del Atlántico.</w:t>
      </w:r>
    </w:p>
  </w:footnote>
  <w:footnote w:id="15">
    <w:p w14:paraId="6F180268"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 el Plan Pescao dinamizaremos la economía de los municipios del Atlántico": Elsa Noguera. Véase en: https://www.atlantico.gov.co/index.php/noticias-desarrollo/13942-con-el-plan-pescao</w:t>
      </w:r>
    </w:p>
  </w:footnote>
  <w:footnote w:id="16">
    <w:p w14:paraId="072152FC" w14:textId="77777777" w:rsidR="000F098B" w:rsidRDefault="00F93E5A">
      <w:pPr>
        <w:tabs>
          <w:tab w:val="left" w:pos="7857"/>
        </w:tabs>
        <w:ind w:right="737"/>
        <w:rPr>
          <w:sz w:val="18"/>
          <w:szCs w:val="18"/>
        </w:rPr>
      </w:pPr>
      <w:r>
        <w:rPr>
          <w:vertAlign w:val="superscript"/>
        </w:rPr>
        <w:footnoteRef/>
      </w:r>
      <w:r>
        <w:t xml:space="preserve"> </w:t>
      </w:r>
      <w:r>
        <w:rPr>
          <w:sz w:val="18"/>
          <w:szCs w:val="18"/>
        </w:rPr>
        <w:t>Sabanalarga   una   de   las   grandes   beneficiadas   con   el   ‘Plan   Pescao’   Véase   en:</w:t>
      </w:r>
      <w:hyperlink r:id="rId7">
        <w:r>
          <w:rPr>
            <w:color w:val="0000FF"/>
            <w:sz w:val="18"/>
            <w:szCs w:val="18"/>
            <w:u w:val="single"/>
          </w:rPr>
          <w:t>http://www.sabanalarga-</w:t>
        </w:r>
      </w:hyperlink>
      <w:r>
        <w:rPr>
          <w:color w:val="0000FF"/>
          <w:sz w:val="18"/>
          <w:szCs w:val="18"/>
        </w:rPr>
        <w:t xml:space="preserve"> </w:t>
      </w:r>
      <w:hyperlink r:id="rId8">
        <w:r>
          <w:rPr>
            <w:color w:val="0000FF"/>
            <w:sz w:val="18"/>
            <w:szCs w:val="18"/>
            <w:u w:val="single"/>
          </w:rPr>
          <w:t>atlantico.gov.co/noticias/sabanalarga-una-de-las-grandes-beneficiadas-con-el-plan</w:t>
        </w:r>
      </w:hyperlink>
    </w:p>
    <w:p w14:paraId="2479431F" w14:textId="77777777" w:rsidR="000F098B" w:rsidRDefault="000F098B">
      <w:pPr>
        <w:pBdr>
          <w:top w:val="nil"/>
          <w:left w:val="nil"/>
          <w:bottom w:val="nil"/>
          <w:right w:val="nil"/>
          <w:between w:val="nil"/>
        </w:pBdr>
        <w:spacing w:after="0" w:line="240" w:lineRule="auto"/>
        <w:rPr>
          <w:color w:val="000000"/>
          <w:sz w:val="20"/>
          <w:szCs w:val="20"/>
        </w:rPr>
      </w:pPr>
    </w:p>
  </w:footnote>
  <w:footnote w:id="17">
    <w:p w14:paraId="5B10D13B" w14:textId="77777777" w:rsidR="000F098B" w:rsidRDefault="00F93E5A">
      <w:pPr>
        <w:spacing w:before="75" w:line="219" w:lineRule="auto"/>
      </w:pPr>
      <w:r>
        <w:rPr>
          <w:vertAlign w:val="superscript"/>
        </w:rPr>
        <w:footnoteRef/>
      </w:r>
      <w:r>
        <w:t xml:space="preserve"> </w:t>
      </w:r>
      <w:r>
        <w:rPr>
          <w:sz w:val="18"/>
          <w:szCs w:val="18"/>
        </w:rPr>
        <w:t>Plan de Desarrollo, Departamento del Atlántico. 2020-2023. Atlántico para la gente. Colombia.</w:t>
      </w:r>
    </w:p>
  </w:footnote>
  <w:footnote w:id="18">
    <w:p w14:paraId="2F379D86"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Con el Plan Pescao dinamizaremos la economía de los municipios del Atlántico": Elsa Noguera. Véase en: </w:t>
      </w:r>
      <w:hyperlink r:id="rId9">
        <w:r>
          <w:rPr>
            <w:color w:val="0000FF"/>
            <w:sz w:val="18"/>
            <w:szCs w:val="18"/>
            <w:u w:val="single"/>
          </w:rPr>
          <w:t>https://www.atlantico.gov.co/index.php/noticias-desarrollo/13942-con-el-plan-pescao</w:t>
        </w:r>
      </w:hyperlink>
    </w:p>
  </w:footnote>
  <w:footnote w:id="19">
    <w:p w14:paraId="03A2F666" w14:textId="77777777" w:rsidR="000F098B" w:rsidRDefault="00F93E5A">
      <w:pPr>
        <w:spacing w:before="73"/>
        <w:ind w:right="920"/>
      </w:pPr>
      <w:r>
        <w:rPr>
          <w:vertAlign w:val="superscript"/>
        </w:rPr>
        <w:footnoteRef/>
      </w:r>
      <w:r>
        <w:t xml:space="preserve"> </w:t>
      </w:r>
      <w:r>
        <w:rPr>
          <w:sz w:val="20"/>
          <w:szCs w:val="20"/>
        </w:rPr>
        <w:t>Por la cual se modifica la Ley 300 de 1996 -Ley General de Turismo, la Ley 1101 de 2006 y se dictan otras disposiciones</w:t>
      </w:r>
    </w:p>
  </w:footnote>
  <w:footnote w:id="20">
    <w:p w14:paraId="1DD35CEE" w14:textId="77777777" w:rsidR="000F098B" w:rsidRDefault="00F93E5A">
      <w:pPr>
        <w:spacing w:before="74"/>
        <w:ind w:left="142" w:right="49" w:hanging="284"/>
        <w:rPr>
          <w:sz w:val="20"/>
          <w:szCs w:val="20"/>
        </w:rPr>
      </w:pPr>
      <w:r>
        <w:rPr>
          <w:vertAlign w:val="superscript"/>
        </w:rPr>
        <w:footnoteRef/>
      </w:r>
      <w:r>
        <w:t xml:space="preserve"> </w:t>
      </w:r>
      <w:r>
        <w:rPr>
          <w:sz w:val="20"/>
          <w:szCs w:val="20"/>
        </w:rPr>
        <w:t>Funciones de la AUNAP (de acuerdo con el decreto 4181 de 2011) https:/</w:t>
      </w:r>
      <w:hyperlink r:id="rId10">
        <w:r>
          <w:rPr>
            <w:sz w:val="20"/>
            <w:szCs w:val="20"/>
          </w:rPr>
          <w:t>/w</w:t>
        </w:r>
      </w:hyperlink>
      <w:r>
        <w:rPr>
          <w:sz w:val="20"/>
          <w:szCs w:val="20"/>
        </w:rPr>
        <w:t>w</w:t>
      </w:r>
      <w:hyperlink r:id="rId11">
        <w:r>
          <w:rPr>
            <w:sz w:val="20"/>
            <w:szCs w:val="20"/>
          </w:rPr>
          <w:t>w.aunap.gov.co/index.php/aunap/funciones</w:t>
        </w:r>
      </w:hyperlink>
    </w:p>
    <w:p w14:paraId="50A0E0F0" w14:textId="77777777" w:rsidR="000F098B" w:rsidRDefault="000F098B">
      <w:pPr>
        <w:pBdr>
          <w:top w:val="nil"/>
          <w:left w:val="nil"/>
          <w:bottom w:val="nil"/>
          <w:right w:val="nil"/>
          <w:between w:val="nil"/>
        </w:pBdr>
        <w:spacing w:after="0" w:line="240" w:lineRule="auto"/>
        <w:rPr>
          <w:color w:val="000000"/>
          <w:sz w:val="20"/>
          <w:szCs w:val="20"/>
        </w:rPr>
      </w:pPr>
    </w:p>
  </w:footnote>
  <w:footnote w:id="21">
    <w:p w14:paraId="46E24628" w14:textId="77777777" w:rsidR="000F098B" w:rsidRDefault="00F93E5A">
      <w:pPr>
        <w:spacing w:before="1"/>
        <w:ind w:right="743"/>
        <w:jc w:val="both"/>
      </w:pPr>
      <w:r>
        <w:rPr>
          <w:vertAlign w:val="superscript"/>
        </w:rPr>
        <w:footnoteRef/>
      </w:r>
      <w:r>
        <w:t xml:space="preserve"> </w:t>
      </w:r>
      <w:r>
        <w:rPr>
          <w:sz w:val="20"/>
          <w:szCs w:val="20"/>
        </w:rPr>
        <w:t>La concesión se regirá por las normas previstas en las secciones 7, 8 y 9 del título 3 correspondiente a aguas no marítimas capítulo 1-INSTRUMENTOS PARA LA PLANIFICACIÓN, ORDENACIÓN Y MANEJO DE LAS CUENCAS HIDROGRÁFICAS Y ACUÍFEROS. De la ley 1076 de 2015 y la asociación se regirá por la legislación vigente sobre la materia.</w:t>
      </w:r>
    </w:p>
  </w:footnote>
  <w:footnote w:id="22">
    <w:p w14:paraId="71AA46BE" w14:textId="77777777" w:rsidR="000F098B" w:rsidRDefault="00F93E5A">
      <w:pPr>
        <w:ind w:right="743"/>
        <w:jc w:val="both"/>
        <w:rPr>
          <w:sz w:val="20"/>
          <w:szCs w:val="20"/>
        </w:rPr>
      </w:pPr>
      <w:r>
        <w:rPr>
          <w:vertAlign w:val="superscript"/>
        </w:rPr>
        <w:footnoteRef/>
      </w:r>
      <w:r>
        <w:t xml:space="preserve"> </w:t>
      </w:r>
      <w:r>
        <w:rPr>
          <w:sz w:val="20"/>
          <w:szCs w:val="20"/>
        </w:rPr>
        <w:t>Por el cual se establecen las condiciones y requisitos para la inscripción Registro Nacional de Turismo y se modifican en su integridad las secciones 1,2 y 3 del capítulo 1 del título 4 de la parte 2 del libro 2 del Decreto 1074 de 2015, Reglamentario del sector Comercio, Industria y Turismo</w:t>
      </w:r>
    </w:p>
    <w:p w14:paraId="2C68DB8A" w14:textId="77777777" w:rsidR="000F098B" w:rsidRDefault="000F098B">
      <w:pPr>
        <w:pBdr>
          <w:top w:val="nil"/>
          <w:left w:val="nil"/>
          <w:bottom w:val="nil"/>
          <w:right w:val="nil"/>
          <w:between w:val="nil"/>
        </w:pBdr>
        <w:spacing w:after="0" w:line="240" w:lineRule="auto"/>
        <w:rPr>
          <w:color w:val="000000"/>
          <w:sz w:val="20"/>
          <w:szCs w:val="20"/>
        </w:rPr>
      </w:pPr>
    </w:p>
  </w:footnote>
  <w:footnote w:id="23">
    <w:p w14:paraId="4DBB01FE"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Ley 1101 de 2006. Por la cual se modifica la Ley 300 de 1996 - Ley General de Turismo y se dictan otras disposiciones. Diario Oficial No. 46.461 de 23 de noviembre de 200</w:t>
      </w:r>
    </w:p>
  </w:footnote>
  <w:footnote w:id="24">
    <w:p w14:paraId="1A484458" w14:textId="77777777" w:rsidR="000F098B" w:rsidRDefault="00F93E5A">
      <w:pPr>
        <w:spacing w:before="1"/>
        <w:ind w:right="735"/>
        <w:jc w:val="both"/>
      </w:pPr>
      <w:r>
        <w:rPr>
          <w:vertAlign w:val="superscript"/>
        </w:rPr>
        <w:footnoteRef/>
      </w:r>
      <w:r>
        <w:t xml:space="preserve"> </w:t>
      </w:r>
      <w:r>
        <w:rPr>
          <w:sz w:val="20"/>
          <w:szCs w:val="20"/>
        </w:rPr>
        <w:t>Esto significa que, en materia de gasto público, la Carta Política efectuó un reparto de competencias entre el Congreso y el Gobierno Nacional, de tal manera que ambos tienen iniciativa del gasto de conformidad con los preceptos constitucionales, y deben actuar coordinadamente dentro de sus competencias.</w:t>
      </w:r>
    </w:p>
  </w:footnote>
  <w:footnote w:id="25">
    <w:p w14:paraId="617299FE" w14:textId="77777777" w:rsidR="000F098B" w:rsidRDefault="00F93E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Así, el Gobierno requiere de la aprobación de sus proyectos por parte del Congreso y el Congreso requiere de la anuencia del Gobierno, quien determinará la incorporación de los gastos decretados por el Congreso, siempre y cuando sean consecuentes con el Plan Nacional de Desarrollo y el Presupuesto General de la Nación, tal como lo estipula el artículo 346 de la Carta. (…)</w:t>
      </w:r>
    </w:p>
  </w:footnote>
  <w:footnote w:id="26">
    <w:p w14:paraId="048A7DB1" w14:textId="77777777" w:rsidR="000F098B" w:rsidRDefault="00F93E5A">
      <w:pPr>
        <w:spacing w:before="73"/>
      </w:pPr>
      <w:r>
        <w:rPr>
          <w:vertAlign w:val="superscript"/>
        </w:rPr>
        <w:footnoteRef/>
      </w:r>
      <w:r>
        <w:t xml:space="preserve"> </w:t>
      </w:r>
      <w:r>
        <w:rPr>
          <w:sz w:val="20"/>
          <w:szCs w:val="20"/>
        </w:rPr>
        <w:t>Corte Constitucional, Sentencia C-859 de 2001, C- 766 de 2010</w:t>
      </w:r>
    </w:p>
  </w:footnote>
  <w:footnote w:id="27">
    <w:p w14:paraId="5004AFAA" w14:textId="77777777" w:rsidR="000F098B" w:rsidRDefault="00F93E5A">
      <w:pPr>
        <w:spacing w:before="1"/>
        <w:rPr>
          <w:sz w:val="20"/>
          <w:szCs w:val="20"/>
        </w:rPr>
      </w:pPr>
      <w:r>
        <w:rPr>
          <w:vertAlign w:val="superscript"/>
        </w:rPr>
        <w:footnoteRef/>
      </w:r>
      <w:r>
        <w:t xml:space="preserve"> </w:t>
      </w:r>
      <w:r>
        <w:rPr>
          <w:sz w:val="20"/>
          <w:szCs w:val="20"/>
        </w:rPr>
        <w:t>Ibídem</w:t>
      </w:r>
    </w:p>
    <w:p w14:paraId="5ED3E7B8" w14:textId="77777777" w:rsidR="000F098B" w:rsidRDefault="000F098B">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ACA9" w14:textId="77777777" w:rsidR="000F098B" w:rsidRDefault="00F93E5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A9ED640" wp14:editId="3A8E3F20">
          <wp:simplePos x="0" y="0"/>
          <wp:positionH relativeFrom="column">
            <wp:posOffset>-1080134</wp:posOffset>
          </wp:positionH>
          <wp:positionV relativeFrom="paragraph">
            <wp:posOffset>145105</wp:posOffset>
          </wp:positionV>
          <wp:extent cx="7940675" cy="800100"/>
          <wp:effectExtent l="0" t="0" r="0" b="0"/>
          <wp:wrapSquare wrapText="bothSides" distT="0" distB="0" distL="114300" distR="114300"/>
          <wp:docPr id="17" name="image4.png" descr="Macintosh HD:Users:JuanCamiloMerchan:Desktop:logo-congreso 3.png"/>
          <wp:cNvGraphicFramePr/>
          <a:graphic xmlns:a="http://schemas.openxmlformats.org/drawingml/2006/main">
            <a:graphicData uri="http://schemas.openxmlformats.org/drawingml/2006/picture">
              <pic:pic xmlns:pic="http://schemas.openxmlformats.org/drawingml/2006/picture">
                <pic:nvPicPr>
                  <pic:cNvPr id="0" name="image4.png" descr="Macintosh HD:Users:JuanCamiloMerchan:Desktop:logo-congreso 3.png"/>
                  <pic:cNvPicPr preferRelativeResize="0"/>
                </pic:nvPicPr>
                <pic:blipFill>
                  <a:blip r:embed="rId1"/>
                  <a:srcRect b="3551"/>
                  <a:stretch>
                    <a:fillRect/>
                  </a:stretch>
                </pic:blipFill>
                <pic:spPr>
                  <a:xfrm>
                    <a:off x="0" y="0"/>
                    <a:ext cx="7940675" cy="800100"/>
                  </a:xfrm>
                  <a:prstGeom prst="rect">
                    <a:avLst/>
                  </a:prstGeom>
                  <a:ln/>
                </pic:spPr>
              </pic:pic>
            </a:graphicData>
          </a:graphic>
        </wp:anchor>
      </w:drawing>
    </w:r>
  </w:p>
  <w:p w14:paraId="22BEC9E8" w14:textId="77777777" w:rsidR="000F098B" w:rsidRDefault="000F098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432"/>
    <w:multiLevelType w:val="multilevel"/>
    <w:tmpl w:val="FFFFFFFF"/>
    <w:lvl w:ilvl="0">
      <w:start w:val="1"/>
      <w:numFmt w:val="bullet"/>
      <w:lvlText w:val="•"/>
      <w:lvlJc w:val="left"/>
      <w:pPr>
        <w:ind w:left="1065" w:hanging="705"/>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6E1009"/>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DB554ED"/>
    <w:multiLevelType w:val="multilevel"/>
    <w:tmpl w:val="FFFFFFFF"/>
    <w:lvl w:ilvl="0">
      <w:start w:val="1"/>
      <w:numFmt w:val="bullet"/>
      <w:lvlText w:val="⮚"/>
      <w:lvlJc w:val="left"/>
      <w:pPr>
        <w:ind w:left="1309" w:hanging="427"/>
      </w:pPr>
      <w:rPr>
        <w:rFonts w:ascii="Noto Sans Symbols" w:eastAsia="Noto Sans Symbols" w:hAnsi="Noto Sans Symbols" w:cs="Noto Sans Symbols"/>
        <w:sz w:val="24"/>
        <w:szCs w:val="24"/>
      </w:rPr>
    </w:lvl>
    <w:lvl w:ilvl="1">
      <w:start w:val="1"/>
      <w:numFmt w:val="bullet"/>
      <w:lvlText w:val="●"/>
      <w:lvlJc w:val="left"/>
      <w:pPr>
        <w:ind w:left="1602" w:hanging="360"/>
      </w:pPr>
      <w:rPr>
        <w:rFonts w:ascii="Noto Sans Symbols" w:eastAsia="Noto Sans Symbols" w:hAnsi="Noto Sans Symbols" w:cs="Noto Sans Symbols"/>
        <w:sz w:val="24"/>
        <w:szCs w:val="24"/>
      </w:rPr>
    </w:lvl>
    <w:lvl w:ilvl="2">
      <w:start w:val="1"/>
      <w:numFmt w:val="bullet"/>
      <w:lvlText w:val="●"/>
      <w:lvlJc w:val="left"/>
      <w:pPr>
        <w:ind w:left="1602" w:hanging="360"/>
      </w:pPr>
      <w:rPr>
        <w:rFonts w:ascii="Noto Sans Symbols" w:eastAsia="Noto Sans Symbols" w:hAnsi="Noto Sans Symbols" w:cs="Noto Sans Symbols"/>
        <w:sz w:val="12"/>
        <w:szCs w:val="12"/>
      </w:rPr>
    </w:lvl>
    <w:lvl w:ilvl="3">
      <w:start w:val="1"/>
      <w:numFmt w:val="bullet"/>
      <w:lvlText w:val="•"/>
      <w:lvlJc w:val="left"/>
      <w:pPr>
        <w:ind w:left="2707" w:hanging="360"/>
      </w:pPr>
    </w:lvl>
    <w:lvl w:ilvl="4">
      <w:start w:val="1"/>
      <w:numFmt w:val="bullet"/>
      <w:lvlText w:val="•"/>
      <w:lvlJc w:val="left"/>
      <w:pPr>
        <w:ind w:left="3815" w:hanging="360"/>
      </w:pPr>
    </w:lvl>
    <w:lvl w:ilvl="5">
      <w:start w:val="1"/>
      <w:numFmt w:val="bullet"/>
      <w:lvlText w:val="•"/>
      <w:lvlJc w:val="left"/>
      <w:pPr>
        <w:ind w:left="4922" w:hanging="360"/>
      </w:pPr>
    </w:lvl>
    <w:lvl w:ilvl="6">
      <w:start w:val="1"/>
      <w:numFmt w:val="bullet"/>
      <w:lvlText w:val="•"/>
      <w:lvlJc w:val="left"/>
      <w:pPr>
        <w:ind w:left="6030" w:hanging="360"/>
      </w:pPr>
    </w:lvl>
    <w:lvl w:ilvl="7">
      <w:start w:val="1"/>
      <w:numFmt w:val="bullet"/>
      <w:lvlText w:val="•"/>
      <w:lvlJc w:val="left"/>
      <w:pPr>
        <w:ind w:left="7137" w:hanging="360"/>
      </w:pPr>
    </w:lvl>
    <w:lvl w:ilvl="8">
      <w:start w:val="1"/>
      <w:numFmt w:val="bullet"/>
      <w:lvlText w:val="•"/>
      <w:lvlJc w:val="left"/>
      <w:pPr>
        <w:ind w:left="8245" w:hanging="360"/>
      </w:pPr>
    </w:lvl>
  </w:abstractNum>
  <w:abstractNum w:abstractNumId="3" w15:restartNumberingAfterBreak="0">
    <w:nsid w:val="64375068"/>
    <w:multiLevelType w:val="multilevel"/>
    <w:tmpl w:val="FFFFFF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22" w:hanging="720"/>
      </w:pPr>
    </w:lvl>
    <w:lvl w:ilvl="3">
      <w:start w:val="1"/>
      <w:numFmt w:val="decimal"/>
      <w:lvlText w:val="%1.%2.%3.%4"/>
      <w:lvlJc w:val="left"/>
      <w:pPr>
        <w:ind w:left="2643" w:hanging="720"/>
      </w:pPr>
    </w:lvl>
    <w:lvl w:ilvl="4">
      <w:start w:val="1"/>
      <w:numFmt w:val="decimal"/>
      <w:lvlText w:val="%1.%2.%3.%4.%5"/>
      <w:lvlJc w:val="left"/>
      <w:pPr>
        <w:ind w:left="3524" w:hanging="1080"/>
      </w:pPr>
    </w:lvl>
    <w:lvl w:ilvl="5">
      <w:start w:val="1"/>
      <w:numFmt w:val="decimal"/>
      <w:lvlText w:val="%1.%2.%3.%4.%5.%6"/>
      <w:lvlJc w:val="left"/>
      <w:pPr>
        <w:ind w:left="4045" w:hanging="1080"/>
      </w:pPr>
    </w:lvl>
    <w:lvl w:ilvl="6">
      <w:start w:val="1"/>
      <w:numFmt w:val="decimal"/>
      <w:lvlText w:val="%1.%2.%3.%4.%5.%6.%7"/>
      <w:lvlJc w:val="left"/>
      <w:pPr>
        <w:ind w:left="4926" w:hanging="1440"/>
      </w:pPr>
    </w:lvl>
    <w:lvl w:ilvl="7">
      <w:start w:val="1"/>
      <w:numFmt w:val="decimal"/>
      <w:lvlText w:val="%1.%2.%3.%4.%5.%6.%7.%8"/>
      <w:lvlJc w:val="left"/>
      <w:pPr>
        <w:ind w:left="5447" w:hanging="1439"/>
      </w:pPr>
    </w:lvl>
    <w:lvl w:ilvl="8">
      <w:start w:val="1"/>
      <w:numFmt w:val="decimal"/>
      <w:lvlText w:val="%1.%2.%3.%4.%5.%6.%7.%8.%9"/>
      <w:lvlJc w:val="left"/>
      <w:pPr>
        <w:ind w:left="6328" w:hanging="1800"/>
      </w:pPr>
    </w:lvl>
  </w:abstractNum>
  <w:abstractNum w:abstractNumId="4" w15:restartNumberingAfterBreak="0">
    <w:nsid w:val="6A3F517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D35BC8"/>
    <w:multiLevelType w:val="multilevel"/>
    <w:tmpl w:val="FFFFFFFF"/>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8B"/>
    <w:rsid w:val="000F098B"/>
    <w:rsid w:val="003B3AF6"/>
    <w:rsid w:val="00651012"/>
    <w:rsid w:val="0091684E"/>
    <w:rsid w:val="009E32E9"/>
    <w:rsid w:val="00A50F04"/>
    <w:rsid w:val="00BE31B8"/>
    <w:rsid w:val="00C11249"/>
    <w:rsid w:val="00EE3F19"/>
    <w:rsid w:val="00F10E27"/>
    <w:rsid w:val="00F32E8B"/>
    <w:rsid w:val="00F629CA"/>
    <w:rsid w:val="00F93E5A"/>
    <w:rsid w:val="00FF2CE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F7A2"/>
  <w15:docId w15:val="{3AA24C22-3E8B-E946-8367-126E12AD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1905BB"/>
    <w:pPr>
      <w:widowControl w:val="0"/>
      <w:autoSpaceDE w:val="0"/>
      <w:autoSpaceDN w:val="0"/>
      <w:spacing w:after="0" w:line="240" w:lineRule="auto"/>
      <w:ind w:left="1165"/>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02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681"/>
  </w:style>
  <w:style w:type="paragraph" w:styleId="Piedepgina">
    <w:name w:val="footer"/>
    <w:basedOn w:val="Normal"/>
    <w:link w:val="PiedepginaCar"/>
    <w:uiPriority w:val="99"/>
    <w:unhideWhenUsed/>
    <w:rsid w:val="00F02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681"/>
  </w:style>
  <w:style w:type="paragraph" w:styleId="Prrafodelista">
    <w:name w:val="List Paragraph"/>
    <w:basedOn w:val="Normal"/>
    <w:uiPriority w:val="1"/>
    <w:qFormat/>
    <w:rsid w:val="00C57894"/>
    <w:pPr>
      <w:ind w:left="720"/>
      <w:contextualSpacing/>
    </w:pPr>
  </w:style>
  <w:style w:type="paragraph" w:styleId="Textonotapie">
    <w:name w:val="footnote text"/>
    <w:basedOn w:val="Normal"/>
    <w:link w:val="TextonotapieCar"/>
    <w:uiPriority w:val="99"/>
    <w:semiHidden/>
    <w:unhideWhenUsed/>
    <w:rsid w:val="00C578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7894"/>
    <w:rPr>
      <w:sz w:val="20"/>
      <w:szCs w:val="20"/>
    </w:rPr>
  </w:style>
  <w:style w:type="character" w:styleId="Refdenotaalpie">
    <w:name w:val="footnote reference"/>
    <w:basedOn w:val="Fuentedeprrafopredeter"/>
    <w:uiPriority w:val="99"/>
    <w:semiHidden/>
    <w:unhideWhenUsed/>
    <w:rsid w:val="00C57894"/>
    <w:rPr>
      <w:vertAlign w:val="superscript"/>
    </w:rPr>
  </w:style>
  <w:style w:type="paragraph" w:styleId="Textoindependiente">
    <w:name w:val="Body Text"/>
    <w:basedOn w:val="Normal"/>
    <w:link w:val="TextoindependienteCar"/>
    <w:uiPriority w:val="1"/>
    <w:qFormat/>
    <w:rsid w:val="00C57894"/>
    <w:pPr>
      <w:widowControl w:val="0"/>
      <w:autoSpaceDE w:val="0"/>
      <w:autoSpaceDN w:val="0"/>
      <w:spacing w:after="0" w:line="240" w:lineRule="auto"/>
    </w:pPr>
    <w:rPr>
      <w:sz w:val="24"/>
      <w:szCs w:val="24"/>
    </w:rPr>
  </w:style>
  <w:style w:type="character" w:customStyle="1" w:styleId="TextoindependienteCar">
    <w:name w:val="Texto independiente Car"/>
    <w:basedOn w:val="Fuentedeprrafopredeter"/>
    <w:link w:val="Textoindependiente"/>
    <w:uiPriority w:val="1"/>
    <w:rsid w:val="00C57894"/>
    <w:rPr>
      <w:rFonts w:ascii="Calibri" w:eastAsia="Calibri" w:hAnsi="Calibri" w:cs="Calibri"/>
      <w:sz w:val="24"/>
      <w:szCs w:val="24"/>
      <w:lang w:val="es-ES"/>
    </w:rPr>
  </w:style>
  <w:style w:type="character" w:customStyle="1" w:styleId="Ttulo2Car">
    <w:name w:val="Título 2 Car"/>
    <w:basedOn w:val="Fuentedeprrafopredeter"/>
    <w:link w:val="Ttulo2"/>
    <w:uiPriority w:val="1"/>
    <w:rsid w:val="001905BB"/>
    <w:rPr>
      <w:rFonts w:ascii="Calibri" w:eastAsia="Calibri" w:hAnsi="Calibri" w:cs="Calibri"/>
      <w:b/>
      <w:bCs/>
      <w:sz w:val="24"/>
      <w:szCs w:val="24"/>
      <w:lang w:val="es-ES"/>
    </w:rPr>
  </w:style>
  <w:style w:type="character" w:styleId="Hipervnculo">
    <w:name w:val="Hyperlink"/>
    <w:basedOn w:val="Fuentedeprrafopredeter"/>
    <w:uiPriority w:val="99"/>
    <w:unhideWhenUsed/>
    <w:rsid w:val="001905BB"/>
    <w:rPr>
      <w:color w:val="0563C1" w:themeColor="hyperlink"/>
      <w:u w:val="single"/>
    </w:rPr>
  </w:style>
  <w:style w:type="table" w:styleId="Tablaconcuadrcula">
    <w:name w:val="Table Grid"/>
    <w:basedOn w:val="Tablanormal"/>
    <w:uiPriority w:val="39"/>
    <w:rsid w:val="00E3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33C88"/>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sabanalarga-atlantico.gov.co/noticias/sabanalarga-una-de-las-grandes-beneficiadas-con-el-plan" TargetMode="External"/><Relationship Id="rId3" Type="http://schemas.openxmlformats.org/officeDocument/2006/relationships/hyperlink" Target="https://www.eltiempo.com/colombia/medellin/asi-va-el-turismo-en-guatape-un-ano-despues-del-hundimiento-de-el-almirante-235436" TargetMode="External"/><Relationship Id="rId7" Type="http://schemas.openxmlformats.org/officeDocument/2006/relationships/hyperlink" Target="http://www.sabanalarga-atlantico.gov.co/noticias/sabanalarga-una-de-las-grandes-beneficiadas-con-el-plan" TargetMode="External"/><Relationship Id="rId2" Type="http://schemas.openxmlformats.org/officeDocument/2006/relationships/hyperlink" Target="https://www.eltiempo.com/colombia/medellin/asi-va-el-turismo-en-guatape-un-ano-despues-del-hundimiento-de-el-almirante-235436" TargetMode="External"/><Relationship Id="rId1" Type="http://schemas.openxmlformats.org/officeDocument/2006/relationships/hyperlink" Target="https://www.elmundo.com/noticia/Guatape-se-fortalece-en-turismo-seguro-y-de-alto-nivel/355012" TargetMode="External"/><Relationship Id="rId6" Type="http://schemas.openxmlformats.org/officeDocument/2006/relationships/hyperlink" Target="http://www.fao.org/inland-fisheries/tools/detail/es/c/1149752/" TargetMode="External"/><Relationship Id="rId11" Type="http://schemas.openxmlformats.org/officeDocument/2006/relationships/hyperlink" Target="http://www.aunap.gov.co/index.php/aunap/funciones" TargetMode="External"/><Relationship Id="rId5" Type="http://schemas.openxmlformats.org/officeDocument/2006/relationships/hyperlink" Target="https://sioc.minagricultura.gov.co/Acuicultura/Documentos/2019-09%2030%20Cifras%20Sectoriales.pdf" TargetMode="External"/><Relationship Id="rId10" Type="http://schemas.openxmlformats.org/officeDocument/2006/relationships/hyperlink" Target="http://www.aunap.gov.co/index.php/aunap/funciones" TargetMode="External"/><Relationship Id="rId4" Type="http://schemas.openxmlformats.org/officeDocument/2006/relationships/hyperlink" Target="https://sioc.minagricultura.gov.co/Acuicultura/Documentos/2019-09%2030%20Cifras%20Sectoriales.pdf" TargetMode="External"/><Relationship Id="rId9" Type="http://schemas.openxmlformats.org/officeDocument/2006/relationships/hyperlink" Target="https://www.atlantico.gov.co/index.php/noticias-desarrollo/13942-con-el-plan-pes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RMJP0Dk7AEve9S4XteBTqHS8cw==">AMUW2mXIdHu12jOHa7ISL9DoKIaoqcUq8W4hE6kfdqw1TBaz0EtCVmxxiCn3Zr7thtL68AhOCl19ggLThe3fCEibmkwdM6u5h0fhnrESqy7WHIKwrcBXTIw=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6682</Words>
  <Characters>36755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HOYOS</dc:creator>
  <cp:lastModifiedBy>mayra alejandra agalindo martinez</cp:lastModifiedBy>
  <cp:revision>2</cp:revision>
  <cp:lastPrinted>2021-11-23T21:22:00Z</cp:lastPrinted>
  <dcterms:created xsi:type="dcterms:W3CDTF">2021-11-24T13:37:00Z</dcterms:created>
  <dcterms:modified xsi:type="dcterms:W3CDTF">2021-11-24T13:37:00Z</dcterms:modified>
</cp:coreProperties>
</file>